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5F" w:rsidRPr="004946F4" w:rsidRDefault="00D07409" w:rsidP="00DE6028">
      <w:pPr>
        <w:pStyle w:val="Spacerparatopoffirstpage"/>
      </w:pPr>
      <w:bookmarkStart w:id="0" w:name="_GoBack"/>
      <w:bookmarkEnd w:id="0"/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05FC399A" wp14:editId="383A8989">
            <wp:simplePos x="0" y="0"/>
            <wp:positionH relativeFrom="page">
              <wp:posOffset>-840740</wp:posOffset>
            </wp:positionH>
            <wp:positionV relativeFrom="page">
              <wp:posOffset>16510</wp:posOffset>
            </wp:positionV>
            <wp:extent cx="8518525" cy="2327275"/>
            <wp:effectExtent l="0" t="0" r="0" b="0"/>
            <wp:wrapNone/>
            <wp:docPr id="27" name="Picture 2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525" cy="232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EF36AF" w:rsidTr="00D33E72">
        <w:trPr>
          <w:trHeight w:val="1276"/>
        </w:trPr>
        <w:tc>
          <w:tcPr>
            <w:tcW w:w="10137" w:type="dxa"/>
            <w:shd w:val="clear" w:color="auto" w:fill="auto"/>
            <w:vAlign w:val="bottom"/>
          </w:tcPr>
          <w:p w:rsidR="001779CE" w:rsidRDefault="001779CE" w:rsidP="001779CE">
            <w:pPr>
              <w:pStyle w:val="DHHSmainheading"/>
            </w:pPr>
            <w:r>
              <w:t>Department of Health and Human Services</w:t>
            </w:r>
          </w:p>
          <w:p w:rsidR="001779CE" w:rsidRDefault="001779CE" w:rsidP="001779CE">
            <w:pPr>
              <w:pStyle w:val="DHHSmainheading"/>
              <w:jc w:val="center"/>
            </w:pPr>
            <w:r>
              <w:t>A Place to Call Home Program</w:t>
            </w:r>
          </w:p>
          <w:p w:rsidR="004946F4" w:rsidRPr="00161AA0" w:rsidRDefault="001779CE" w:rsidP="001779CE">
            <w:pPr>
              <w:pStyle w:val="DHHSmainheading"/>
              <w:jc w:val="center"/>
            </w:pPr>
            <w:r>
              <w:t>Loddon Area</w:t>
            </w:r>
          </w:p>
        </w:tc>
      </w:tr>
      <w:tr w:rsidR="005D6597" w:rsidTr="00DE6028">
        <w:trPr>
          <w:trHeight w:val="494"/>
        </w:trPr>
        <w:tc>
          <w:tcPr>
            <w:tcW w:w="10137" w:type="dxa"/>
            <w:shd w:val="clear" w:color="auto" w:fill="auto"/>
            <w:tcMar>
              <w:top w:w="510" w:type="dxa"/>
            </w:tcMar>
          </w:tcPr>
          <w:p w:rsidR="005D6597" w:rsidRDefault="001779CE" w:rsidP="001779CE">
            <w:pPr>
              <w:pStyle w:val="DHHSmainsubheading"/>
              <w:jc w:val="center"/>
            </w:pPr>
            <w:r>
              <w:rPr>
                <w:sz w:val="30"/>
                <w:szCs w:val="30"/>
              </w:rPr>
              <w:t>Fact</w:t>
            </w:r>
            <w:r w:rsidR="009F60F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sheet for Support Workers</w:t>
            </w:r>
          </w:p>
        </w:tc>
      </w:tr>
      <w:tr w:rsidR="00CC0C72" w:rsidTr="00CC0C72">
        <w:trPr>
          <w:trHeight w:val="227"/>
        </w:trPr>
        <w:tc>
          <w:tcPr>
            <w:tcW w:w="10137" w:type="dxa"/>
            <w:shd w:val="clear" w:color="auto" w:fill="auto"/>
            <w:tcMar>
              <w:top w:w="0" w:type="dxa"/>
            </w:tcMar>
          </w:tcPr>
          <w:p w:rsidR="00CC0C72" w:rsidRPr="004F6936" w:rsidRDefault="00CC0C72" w:rsidP="00CC0C72">
            <w:pPr>
              <w:pStyle w:val="DHHSbody"/>
            </w:pPr>
          </w:p>
        </w:tc>
      </w:tr>
    </w:tbl>
    <w:p w:rsidR="0074696E" w:rsidRPr="004C6EEE" w:rsidRDefault="0074696E" w:rsidP="00E024E0">
      <w:pPr>
        <w:pStyle w:val="Sectionbreakfirstpage"/>
        <w:spacing w:after="0"/>
      </w:pPr>
    </w:p>
    <w:p w:rsidR="00A62D44" w:rsidRPr="004C6EEE" w:rsidRDefault="00A62D44" w:rsidP="004C6EEE">
      <w:pPr>
        <w:pStyle w:val="Sectionbreakfirstpage"/>
        <w:sectPr w:rsidR="00A62D44" w:rsidRPr="004C6EEE" w:rsidSect="00D33E72">
          <w:footerReference w:type="default" r:id="rId9"/>
          <w:pgSz w:w="11906" w:h="16838" w:code="9"/>
          <w:pgMar w:top="851" w:right="851" w:bottom="1418" w:left="851" w:header="510" w:footer="510" w:gutter="0"/>
          <w:cols w:space="708"/>
          <w:docGrid w:linePitch="360"/>
        </w:sectPr>
      </w:pPr>
    </w:p>
    <w:p w:rsidR="001779CE" w:rsidRPr="00084830" w:rsidRDefault="001779CE" w:rsidP="0033453C">
      <w:pPr>
        <w:spacing w:before="960" w:after="120"/>
        <w:jc w:val="both"/>
        <w:rPr>
          <w:rFonts w:ascii="Arial" w:hAnsi="Arial" w:cs="Arial"/>
          <w:b/>
          <w:color w:val="006FB7"/>
          <w:sz w:val="28"/>
          <w:szCs w:val="28"/>
        </w:rPr>
      </w:pPr>
      <w:bookmarkStart w:id="1" w:name="_Toc410976288"/>
      <w:r w:rsidRPr="00084830">
        <w:rPr>
          <w:rFonts w:ascii="Arial" w:hAnsi="Arial" w:cs="Arial"/>
          <w:b/>
          <w:color w:val="006FB7"/>
          <w:sz w:val="28"/>
          <w:szCs w:val="28"/>
        </w:rPr>
        <w:lastRenderedPageBreak/>
        <w:t>A Place to Call Home</w:t>
      </w:r>
    </w:p>
    <w:p w:rsidR="00B600E9" w:rsidRDefault="001779CE" w:rsidP="001779CE">
      <w:pPr>
        <w:jc w:val="both"/>
        <w:rPr>
          <w:rFonts w:ascii="Arial" w:hAnsi="Arial" w:cs="Arial"/>
          <w:sz w:val="24"/>
        </w:rPr>
      </w:pPr>
      <w:r w:rsidRPr="00F0774F">
        <w:rPr>
          <w:rFonts w:ascii="Arial" w:hAnsi="Arial" w:cs="Arial"/>
          <w:sz w:val="24"/>
        </w:rPr>
        <w:t xml:space="preserve">is a housing program that allows </w:t>
      </w:r>
      <w:r w:rsidR="00084830">
        <w:rPr>
          <w:rFonts w:ascii="Arial" w:hAnsi="Arial" w:cs="Arial"/>
          <w:sz w:val="24"/>
        </w:rPr>
        <w:t>clients</w:t>
      </w:r>
      <w:r w:rsidRPr="00F0774F">
        <w:rPr>
          <w:rFonts w:ascii="Arial" w:hAnsi="Arial" w:cs="Arial"/>
          <w:sz w:val="24"/>
        </w:rPr>
        <w:t xml:space="preserve"> to be supported for  14 months</w:t>
      </w:r>
      <w:r w:rsidR="007D163A">
        <w:rPr>
          <w:rFonts w:ascii="Arial" w:hAnsi="Arial" w:cs="Arial"/>
          <w:sz w:val="24"/>
        </w:rPr>
        <w:t xml:space="preserve"> in Transitional and then Public Housing to ensure a successful tenancy</w:t>
      </w:r>
      <w:r w:rsidRPr="00F0774F">
        <w:rPr>
          <w:rFonts w:ascii="Arial" w:hAnsi="Arial" w:cs="Arial"/>
          <w:sz w:val="24"/>
        </w:rPr>
        <w:t xml:space="preserve">. At the end of </w:t>
      </w:r>
      <w:r w:rsidR="00441F04">
        <w:rPr>
          <w:rFonts w:ascii="Arial" w:hAnsi="Arial" w:cs="Arial"/>
          <w:sz w:val="24"/>
        </w:rPr>
        <w:t xml:space="preserve">a successful </w:t>
      </w:r>
      <w:r w:rsidRPr="00F0774F">
        <w:rPr>
          <w:rFonts w:ascii="Arial" w:hAnsi="Arial" w:cs="Arial"/>
          <w:sz w:val="24"/>
        </w:rPr>
        <w:t xml:space="preserve">12 months </w:t>
      </w:r>
      <w:r w:rsidR="007D163A">
        <w:rPr>
          <w:rFonts w:ascii="Arial" w:hAnsi="Arial" w:cs="Arial"/>
          <w:sz w:val="24"/>
        </w:rPr>
        <w:t xml:space="preserve">in a Transitional </w:t>
      </w:r>
      <w:r w:rsidRPr="00F0774F">
        <w:rPr>
          <w:rFonts w:ascii="Arial" w:hAnsi="Arial" w:cs="Arial"/>
          <w:sz w:val="24"/>
        </w:rPr>
        <w:t>tenancy</w:t>
      </w:r>
      <w:r w:rsidR="00864A0B">
        <w:rPr>
          <w:rFonts w:ascii="Arial" w:hAnsi="Arial" w:cs="Arial"/>
          <w:sz w:val="24"/>
        </w:rPr>
        <w:t>,</w:t>
      </w:r>
      <w:r w:rsidR="007D163A">
        <w:rPr>
          <w:rFonts w:ascii="Arial" w:hAnsi="Arial" w:cs="Arial"/>
          <w:sz w:val="24"/>
        </w:rPr>
        <w:t xml:space="preserve"> </w:t>
      </w:r>
      <w:r w:rsidR="00864A0B">
        <w:rPr>
          <w:rFonts w:ascii="Arial" w:hAnsi="Arial" w:cs="Arial"/>
          <w:sz w:val="24"/>
        </w:rPr>
        <w:t xml:space="preserve">they </w:t>
      </w:r>
      <w:r w:rsidRPr="00F0774F">
        <w:rPr>
          <w:rFonts w:ascii="Arial" w:hAnsi="Arial" w:cs="Arial"/>
          <w:sz w:val="24"/>
        </w:rPr>
        <w:t>will be transferred from the Transitional Housing provider (Haven</w:t>
      </w:r>
      <w:r w:rsidR="00D07409">
        <w:rPr>
          <w:rFonts w:ascii="Arial" w:hAnsi="Arial" w:cs="Arial"/>
          <w:sz w:val="24"/>
        </w:rPr>
        <w:t>; Home, Safe</w:t>
      </w:r>
      <w:r w:rsidRPr="00F0774F">
        <w:rPr>
          <w:rFonts w:ascii="Arial" w:hAnsi="Arial" w:cs="Arial"/>
          <w:sz w:val="24"/>
        </w:rPr>
        <w:t xml:space="preserve">) to the Department of Health and Human Services (Public Housing), but </w:t>
      </w:r>
      <w:r w:rsidR="00084830">
        <w:rPr>
          <w:rFonts w:ascii="Arial" w:hAnsi="Arial" w:cs="Arial"/>
          <w:sz w:val="24"/>
        </w:rPr>
        <w:t>they</w:t>
      </w:r>
      <w:r w:rsidRPr="00F0774F">
        <w:rPr>
          <w:rFonts w:ascii="Arial" w:hAnsi="Arial" w:cs="Arial"/>
          <w:sz w:val="24"/>
        </w:rPr>
        <w:t xml:space="preserve"> </w:t>
      </w:r>
      <w:r w:rsidRPr="00093BFC">
        <w:rPr>
          <w:rFonts w:ascii="Arial" w:hAnsi="Arial" w:cs="Arial"/>
          <w:b/>
          <w:sz w:val="24"/>
        </w:rPr>
        <w:t>DO NOT</w:t>
      </w:r>
      <w:r w:rsidRPr="00F0774F">
        <w:rPr>
          <w:rFonts w:ascii="Arial" w:hAnsi="Arial" w:cs="Arial"/>
          <w:sz w:val="24"/>
        </w:rPr>
        <w:t xml:space="preserve"> have to move. </w:t>
      </w:r>
    </w:p>
    <w:p w:rsidR="001779CE" w:rsidRDefault="00B600E9" w:rsidP="001779C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1779CE" w:rsidRPr="00F0774F">
        <w:rPr>
          <w:rFonts w:ascii="Arial" w:hAnsi="Arial" w:cs="Arial"/>
          <w:sz w:val="24"/>
        </w:rPr>
        <w:t>upport worker</w:t>
      </w:r>
      <w:r w:rsidR="00084830">
        <w:rPr>
          <w:rFonts w:ascii="Arial" w:hAnsi="Arial" w:cs="Arial"/>
          <w:sz w:val="24"/>
        </w:rPr>
        <w:t>s are funded by the program to</w:t>
      </w:r>
      <w:r w:rsidR="001779CE" w:rsidRPr="00F0774F">
        <w:rPr>
          <w:rFonts w:ascii="Arial" w:hAnsi="Arial" w:cs="Arial"/>
          <w:sz w:val="24"/>
        </w:rPr>
        <w:t xml:space="preserve"> assist </w:t>
      </w:r>
      <w:r w:rsidR="00084830">
        <w:rPr>
          <w:rFonts w:ascii="Arial" w:hAnsi="Arial" w:cs="Arial"/>
          <w:sz w:val="24"/>
        </w:rPr>
        <w:t>clients</w:t>
      </w:r>
      <w:r w:rsidR="001779CE" w:rsidRPr="00F0774F">
        <w:rPr>
          <w:rFonts w:ascii="Arial" w:hAnsi="Arial" w:cs="Arial"/>
          <w:sz w:val="24"/>
        </w:rPr>
        <w:t xml:space="preserve"> through this process and continue to support </w:t>
      </w:r>
      <w:r w:rsidR="00084830">
        <w:rPr>
          <w:rFonts w:ascii="Arial" w:hAnsi="Arial" w:cs="Arial"/>
          <w:sz w:val="24"/>
        </w:rPr>
        <w:t>them</w:t>
      </w:r>
      <w:r w:rsidR="001779CE" w:rsidRPr="00F0774F">
        <w:rPr>
          <w:rFonts w:ascii="Arial" w:hAnsi="Arial" w:cs="Arial"/>
          <w:sz w:val="24"/>
        </w:rPr>
        <w:t xml:space="preserve"> for another 2</w:t>
      </w:r>
      <w:r w:rsidR="009E33FB">
        <w:rPr>
          <w:rFonts w:ascii="Arial" w:hAnsi="Arial" w:cs="Arial"/>
          <w:sz w:val="24"/>
        </w:rPr>
        <w:t> </w:t>
      </w:r>
      <w:r w:rsidR="001779CE" w:rsidRPr="00F0774F">
        <w:rPr>
          <w:rFonts w:ascii="Arial" w:hAnsi="Arial" w:cs="Arial"/>
          <w:sz w:val="24"/>
        </w:rPr>
        <w:t>months</w:t>
      </w:r>
      <w:r>
        <w:rPr>
          <w:rFonts w:ascii="Arial" w:hAnsi="Arial" w:cs="Arial"/>
          <w:sz w:val="24"/>
        </w:rPr>
        <w:t xml:space="preserve"> in Public Housing</w:t>
      </w:r>
      <w:r w:rsidR="001779CE" w:rsidRPr="00F0774F">
        <w:rPr>
          <w:rFonts w:ascii="Arial" w:hAnsi="Arial" w:cs="Arial"/>
          <w:sz w:val="24"/>
        </w:rPr>
        <w:t>.</w:t>
      </w:r>
    </w:p>
    <w:p w:rsidR="007342EF" w:rsidRPr="00B600E9" w:rsidRDefault="007342EF" w:rsidP="007342EF">
      <w:pPr>
        <w:pStyle w:val="DHHSbullet1"/>
        <w:numPr>
          <w:ilvl w:val="0"/>
          <w:numId w:val="0"/>
        </w:numPr>
        <w:spacing w:before="120"/>
        <w:rPr>
          <w:rFonts w:cs="Arial"/>
          <w:i/>
          <w:sz w:val="24"/>
          <w:szCs w:val="24"/>
        </w:rPr>
      </w:pPr>
      <w:r w:rsidRPr="00B600E9">
        <w:rPr>
          <w:rFonts w:cs="Arial"/>
          <w:i/>
          <w:sz w:val="24"/>
          <w:szCs w:val="24"/>
        </w:rPr>
        <w:t>Clients must be public housing eligible and maintain a current public housing application throughout the program period.</w:t>
      </w:r>
    </w:p>
    <w:p w:rsidR="00084830" w:rsidRPr="006A1540" w:rsidRDefault="00084830" w:rsidP="008E368A">
      <w:pPr>
        <w:spacing w:before="360"/>
        <w:rPr>
          <w:rFonts w:ascii="Arial" w:hAnsi="Arial" w:cs="Arial"/>
          <w:sz w:val="24"/>
        </w:rPr>
      </w:pPr>
      <w:bookmarkStart w:id="2" w:name="_Toc256778633"/>
      <w:bookmarkEnd w:id="1"/>
      <w:r w:rsidRPr="00084830">
        <w:rPr>
          <w:rFonts w:ascii="Arial" w:hAnsi="Arial" w:cs="Arial"/>
          <w:b/>
          <w:color w:val="006FB7"/>
          <w:sz w:val="28"/>
          <w:szCs w:val="28"/>
        </w:rPr>
        <w:t>The advantages</w:t>
      </w:r>
      <w:r>
        <w:rPr>
          <w:rFonts w:ascii="Arial" w:hAnsi="Arial" w:cs="Arial"/>
          <w:b/>
          <w:color w:val="7D398D"/>
          <w:sz w:val="28"/>
          <w:szCs w:val="28"/>
        </w:rPr>
        <w:t xml:space="preserve"> </w:t>
      </w:r>
      <w:r w:rsidRPr="006A1540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>clients</w:t>
      </w:r>
      <w:r w:rsidRPr="006A1540">
        <w:rPr>
          <w:rFonts w:ascii="Arial" w:hAnsi="Arial" w:cs="Arial"/>
          <w:sz w:val="24"/>
        </w:rPr>
        <w:t xml:space="preserve"> are:</w:t>
      </w:r>
    </w:p>
    <w:p w:rsidR="00084830" w:rsidRDefault="00084830" w:rsidP="00B9015F">
      <w:pPr>
        <w:pStyle w:val="DHHSbullet1"/>
        <w:numPr>
          <w:ilvl w:val="0"/>
          <w:numId w:val="1"/>
        </w:numPr>
        <w:spacing w:before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they</w:t>
      </w:r>
      <w:r w:rsidRPr="00F0774F">
        <w:rPr>
          <w:rFonts w:cs="Arial"/>
          <w:sz w:val="24"/>
          <w:szCs w:val="24"/>
        </w:rPr>
        <w:t xml:space="preserve"> will </w:t>
      </w:r>
      <w:r w:rsidR="009E33FB">
        <w:rPr>
          <w:rFonts w:cs="Arial"/>
          <w:sz w:val="24"/>
          <w:szCs w:val="24"/>
        </w:rPr>
        <w:t xml:space="preserve">be able to stay in their Transitional property and it will become </w:t>
      </w:r>
      <w:r w:rsidR="00452598">
        <w:rPr>
          <w:rFonts w:cs="Arial"/>
          <w:sz w:val="24"/>
          <w:szCs w:val="24"/>
        </w:rPr>
        <w:t>their ongoing Public</w:t>
      </w:r>
      <w:r w:rsidRPr="00F0774F">
        <w:rPr>
          <w:rFonts w:cs="Arial"/>
          <w:sz w:val="24"/>
          <w:szCs w:val="24"/>
        </w:rPr>
        <w:t xml:space="preserve"> Housing property</w:t>
      </w:r>
      <w:r w:rsidR="00452598">
        <w:rPr>
          <w:rFonts w:cs="Arial"/>
          <w:sz w:val="24"/>
          <w:szCs w:val="24"/>
        </w:rPr>
        <w:t>.</w:t>
      </w:r>
    </w:p>
    <w:p w:rsidR="00084830" w:rsidRPr="00F0774F" w:rsidRDefault="00084830" w:rsidP="00084830">
      <w:pPr>
        <w:pStyle w:val="DHHSbullet1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they</w:t>
      </w:r>
      <w:r w:rsidRPr="00F0774F">
        <w:rPr>
          <w:rFonts w:cs="Arial"/>
          <w:sz w:val="24"/>
          <w:szCs w:val="24"/>
        </w:rPr>
        <w:t xml:space="preserve"> will have </w:t>
      </w:r>
      <w:r w:rsidR="008E368A">
        <w:rPr>
          <w:rFonts w:cs="Arial"/>
          <w:sz w:val="24"/>
          <w:szCs w:val="24"/>
        </w:rPr>
        <w:t xml:space="preserve">12 months </w:t>
      </w:r>
      <w:r w:rsidRPr="00F0774F">
        <w:rPr>
          <w:rFonts w:cs="Arial"/>
          <w:sz w:val="24"/>
          <w:szCs w:val="24"/>
        </w:rPr>
        <w:t xml:space="preserve">support from </w:t>
      </w:r>
      <w:r w:rsidR="00452598">
        <w:rPr>
          <w:rFonts w:cs="Arial"/>
          <w:sz w:val="24"/>
          <w:szCs w:val="24"/>
        </w:rPr>
        <w:t>you, their support worker</w:t>
      </w:r>
      <w:r w:rsidRPr="00F0774F">
        <w:rPr>
          <w:rFonts w:cs="Arial"/>
          <w:sz w:val="24"/>
          <w:szCs w:val="24"/>
        </w:rPr>
        <w:t xml:space="preserve"> to ensure </w:t>
      </w:r>
      <w:r w:rsidR="00452598">
        <w:rPr>
          <w:rFonts w:cs="Arial"/>
          <w:sz w:val="24"/>
          <w:szCs w:val="24"/>
        </w:rPr>
        <w:t xml:space="preserve">that </w:t>
      </w:r>
      <w:r>
        <w:rPr>
          <w:rFonts w:cs="Arial"/>
          <w:sz w:val="24"/>
          <w:szCs w:val="24"/>
        </w:rPr>
        <w:t>their</w:t>
      </w:r>
      <w:r w:rsidRPr="00F0774F">
        <w:rPr>
          <w:rFonts w:cs="Arial"/>
          <w:sz w:val="24"/>
          <w:szCs w:val="24"/>
        </w:rPr>
        <w:t xml:space="preserve"> </w:t>
      </w:r>
      <w:r w:rsidR="008E368A">
        <w:rPr>
          <w:rFonts w:cs="Arial"/>
          <w:sz w:val="24"/>
          <w:szCs w:val="24"/>
        </w:rPr>
        <w:t xml:space="preserve">Transitional tenancy is a success and a further 2 months support to ensure their </w:t>
      </w:r>
      <w:r w:rsidR="00452598">
        <w:rPr>
          <w:rFonts w:cs="Arial"/>
          <w:sz w:val="24"/>
          <w:szCs w:val="24"/>
        </w:rPr>
        <w:t xml:space="preserve">Public Housing </w:t>
      </w:r>
      <w:r w:rsidRPr="00F0774F">
        <w:rPr>
          <w:rFonts w:cs="Arial"/>
          <w:sz w:val="24"/>
          <w:szCs w:val="24"/>
        </w:rPr>
        <w:t>tenancy gets off to a good start and continues successfully</w:t>
      </w:r>
      <w:r w:rsidR="00452598">
        <w:rPr>
          <w:rFonts w:cs="Arial"/>
          <w:sz w:val="24"/>
          <w:szCs w:val="24"/>
        </w:rPr>
        <w:t>.</w:t>
      </w:r>
    </w:p>
    <w:p w:rsidR="00084830" w:rsidRPr="003C4A52" w:rsidRDefault="00084830" w:rsidP="00084830">
      <w:pPr>
        <w:pStyle w:val="DHHSbulle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they will have </w:t>
      </w:r>
      <w:r w:rsidR="00B600E9">
        <w:rPr>
          <w:rFonts w:cs="Arial"/>
          <w:sz w:val="24"/>
          <w:szCs w:val="24"/>
        </w:rPr>
        <w:t xml:space="preserve">you </w:t>
      </w:r>
      <w:r w:rsidRPr="00F0774F">
        <w:rPr>
          <w:rFonts w:cs="Arial"/>
          <w:sz w:val="24"/>
          <w:szCs w:val="24"/>
        </w:rPr>
        <w:t>assist</w:t>
      </w:r>
      <w:r>
        <w:rPr>
          <w:rFonts w:cs="Arial"/>
          <w:sz w:val="24"/>
          <w:szCs w:val="24"/>
        </w:rPr>
        <w:t>ing</w:t>
      </w:r>
      <w:r w:rsidRPr="00F0774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them </w:t>
      </w:r>
      <w:r w:rsidRPr="00F0774F">
        <w:rPr>
          <w:rFonts w:cs="Arial"/>
          <w:sz w:val="24"/>
          <w:szCs w:val="24"/>
        </w:rPr>
        <w:t xml:space="preserve">throughout the transition from </w:t>
      </w:r>
      <w:r w:rsidR="00B600E9">
        <w:rPr>
          <w:rFonts w:cs="Arial"/>
          <w:sz w:val="24"/>
          <w:szCs w:val="24"/>
        </w:rPr>
        <w:t xml:space="preserve">their </w:t>
      </w:r>
      <w:r w:rsidRPr="00F0774F">
        <w:rPr>
          <w:rFonts w:cs="Arial"/>
          <w:sz w:val="24"/>
          <w:szCs w:val="24"/>
        </w:rPr>
        <w:t>Transitional Housing tenancy to the</w:t>
      </w:r>
      <w:r w:rsidR="00B600E9">
        <w:rPr>
          <w:rFonts w:cs="Arial"/>
          <w:sz w:val="24"/>
          <w:szCs w:val="24"/>
        </w:rPr>
        <w:t>ir</w:t>
      </w:r>
      <w:r w:rsidRPr="00F0774F">
        <w:rPr>
          <w:rFonts w:cs="Arial"/>
          <w:sz w:val="24"/>
          <w:szCs w:val="24"/>
        </w:rPr>
        <w:t xml:space="preserve"> Public Housing tenancy</w:t>
      </w:r>
      <w:r w:rsidRPr="003C4A52">
        <w:rPr>
          <w:sz w:val="24"/>
          <w:szCs w:val="24"/>
        </w:rPr>
        <w:t>.</w:t>
      </w:r>
    </w:p>
    <w:bookmarkEnd w:id="2"/>
    <w:p w:rsidR="00084830" w:rsidRDefault="00084830" w:rsidP="00084830">
      <w:pPr>
        <w:pStyle w:val="DHHSbody"/>
      </w:pPr>
    </w:p>
    <w:p w:rsidR="008E368A" w:rsidRDefault="008E368A" w:rsidP="00084830">
      <w:pPr>
        <w:pStyle w:val="DHHSbody"/>
      </w:pPr>
    </w:p>
    <w:p w:rsidR="008E368A" w:rsidRDefault="008E368A" w:rsidP="00084830">
      <w:pPr>
        <w:pStyle w:val="DHHSbody"/>
      </w:pPr>
    </w:p>
    <w:p w:rsidR="00084830" w:rsidRPr="00084830" w:rsidRDefault="00084830" w:rsidP="00B9015F">
      <w:pPr>
        <w:spacing w:before="240" w:after="240"/>
        <w:rPr>
          <w:rFonts w:ascii="Arial" w:hAnsi="Arial" w:cs="Arial"/>
          <w:b/>
          <w:color w:val="006FB7"/>
          <w:sz w:val="28"/>
          <w:szCs w:val="28"/>
        </w:rPr>
      </w:pPr>
      <w:r w:rsidRPr="00084830">
        <w:rPr>
          <w:rFonts w:ascii="Arial" w:hAnsi="Arial" w:cs="Arial"/>
          <w:b/>
          <w:color w:val="006FB7"/>
          <w:sz w:val="28"/>
          <w:szCs w:val="28"/>
        </w:rPr>
        <w:t xml:space="preserve">Your </w:t>
      </w:r>
      <w:r w:rsidR="00B9015F">
        <w:rPr>
          <w:rFonts w:ascii="Arial" w:hAnsi="Arial" w:cs="Arial"/>
          <w:b/>
          <w:color w:val="006FB7"/>
          <w:sz w:val="28"/>
          <w:szCs w:val="28"/>
        </w:rPr>
        <w:t xml:space="preserve">support </w:t>
      </w:r>
      <w:r w:rsidRPr="00084830">
        <w:rPr>
          <w:rFonts w:ascii="Arial" w:hAnsi="Arial" w:cs="Arial"/>
          <w:b/>
          <w:color w:val="006FB7"/>
          <w:sz w:val="28"/>
          <w:szCs w:val="28"/>
        </w:rPr>
        <w:t>responsibilities are:</w:t>
      </w:r>
    </w:p>
    <w:p w:rsidR="00084830" w:rsidRPr="003C4A52" w:rsidRDefault="00084830" w:rsidP="00084830">
      <w:pPr>
        <w:pStyle w:val="DHHSbullet1"/>
        <w:numPr>
          <w:ilvl w:val="0"/>
          <w:numId w:val="1"/>
        </w:numPr>
        <w:jc w:val="both"/>
        <w:rPr>
          <w:sz w:val="24"/>
          <w:szCs w:val="24"/>
        </w:rPr>
      </w:pPr>
      <w:r w:rsidRPr="003C4A52">
        <w:rPr>
          <w:sz w:val="24"/>
          <w:szCs w:val="24"/>
        </w:rPr>
        <w:t xml:space="preserve">to remain in regular contact with your </w:t>
      </w:r>
      <w:r>
        <w:rPr>
          <w:sz w:val="24"/>
          <w:szCs w:val="24"/>
        </w:rPr>
        <w:t>client</w:t>
      </w:r>
      <w:r w:rsidRPr="003C4A52">
        <w:rPr>
          <w:sz w:val="24"/>
          <w:szCs w:val="24"/>
        </w:rPr>
        <w:t>;</w:t>
      </w:r>
    </w:p>
    <w:p w:rsidR="00084830" w:rsidRDefault="00084830" w:rsidP="00084830">
      <w:pPr>
        <w:pStyle w:val="DHHSbullet1"/>
        <w:numPr>
          <w:ilvl w:val="0"/>
          <w:numId w:val="1"/>
        </w:numPr>
        <w:jc w:val="both"/>
        <w:rPr>
          <w:sz w:val="24"/>
          <w:szCs w:val="24"/>
        </w:rPr>
      </w:pPr>
      <w:r w:rsidRPr="003C4A52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ensure that </w:t>
      </w:r>
      <w:r w:rsidR="00B600E9">
        <w:rPr>
          <w:sz w:val="24"/>
          <w:szCs w:val="24"/>
        </w:rPr>
        <w:t>your client</w:t>
      </w:r>
      <w:r>
        <w:rPr>
          <w:sz w:val="24"/>
          <w:szCs w:val="24"/>
        </w:rPr>
        <w:t xml:space="preserve"> understand</w:t>
      </w:r>
      <w:r w:rsidR="00B600E9">
        <w:rPr>
          <w:sz w:val="24"/>
          <w:szCs w:val="24"/>
        </w:rPr>
        <w:t>s</w:t>
      </w:r>
      <w:r>
        <w:rPr>
          <w:sz w:val="24"/>
          <w:szCs w:val="24"/>
        </w:rPr>
        <w:t xml:space="preserve"> their obligations </w:t>
      </w:r>
      <w:r w:rsidRPr="003C4A52">
        <w:rPr>
          <w:sz w:val="24"/>
          <w:szCs w:val="24"/>
        </w:rPr>
        <w:t xml:space="preserve">under the </w:t>
      </w:r>
      <w:r w:rsidRPr="003C4A52">
        <w:rPr>
          <w:i/>
          <w:sz w:val="24"/>
          <w:szCs w:val="24"/>
        </w:rPr>
        <w:t>Residential Tenancies Act 1997</w:t>
      </w:r>
      <w:r w:rsidRPr="003C4A52">
        <w:rPr>
          <w:sz w:val="24"/>
          <w:szCs w:val="24"/>
        </w:rPr>
        <w:t xml:space="preserve"> that appl</w:t>
      </w:r>
      <w:r w:rsidR="00452598">
        <w:rPr>
          <w:sz w:val="24"/>
          <w:szCs w:val="24"/>
        </w:rPr>
        <w:t>ies</w:t>
      </w:r>
      <w:r w:rsidRPr="003C4A52">
        <w:rPr>
          <w:sz w:val="24"/>
          <w:szCs w:val="24"/>
        </w:rPr>
        <w:t xml:space="preserve"> to all Transitional and </w:t>
      </w:r>
      <w:r>
        <w:rPr>
          <w:sz w:val="24"/>
          <w:szCs w:val="24"/>
        </w:rPr>
        <w:t xml:space="preserve">Public </w:t>
      </w:r>
      <w:r w:rsidRPr="003C4A52">
        <w:rPr>
          <w:sz w:val="24"/>
          <w:szCs w:val="24"/>
        </w:rPr>
        <w:t>Housing tenants</w:t>
      </w:r>
      <w:r w:rsidR="00B600E9">
        <w:rPr>
          <w:sz w:val="24"/>
          <w:szCs w:val="24"/>
        </w:rPr>
        <w:t xml:space="preserve"> in Victoria</w:t>
      </w:r>
      <w:r w:rsidR="00452598">
        <w:rPr>
          <w:sz w:val="24"/>
          <w:szCs w:val="24"/>
        </w:rPr>
        <w:t>.</w:t>
      </w:r>
    </w:p>
    <w:p w:rsidR="00084830" w:rsidRDefault="00084830" w:rsidP="00084830">
      <w:pPr>
        <w:pStyle w:val="DHHSbulle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assist </w:t>
      </w:r>
      <w:r w:rsidR="00B9015F">
        <w:rPr>
          <w:sz w:val="24"/>
          <w:szCs w:val="24"/>
        </w:rPr>
        <w:t>with</w:t>
      </w:r>
      <w:r>
        <w:rPr>
          <w:sz w:val="24"/>
          <w:szCs w:val="24"/>
        </w:rPr>
        <w:t xml:space="preserve"> ensuring that clients allow </w:t>
      </w:r>
      <w:r w:rsidR="00452598">
        <w:rPr>
          <w:sz w:val="24"/>
          <w:szCs w:val="24"/>
        </w:rPr>
        <w:t xml:space="preserve">timely </w:t>
      </w:r>
      <w:r>
        <w:rPr>
          <w:sz w:val="24"/>
          <w:szCs w:val="24"/>
        </w:rPr>
        <w:t xml:space="preserve">access to the property 3 months prior to transfer to Public Housing so that a maintenance inspection can be carried out and any </w:t>
      </w:r>
      <w:r w:rsidR="00436B85">
        <w:rPr>
          <w:sz w:val="24"/>
          <w:szCs w:val="24"/>
        </w:rPr>
        <w:t xml:space="preserve">required </w:t>
      </w:r>
      <w:r>
        <w:rPr>
          <w:sz w:val="24"/>
          <w:szCs w:val="24"/>
        </w:rPr>
        <w:t>maintenance can be undertaken</w:t>
      </w:r>
      <w:r w:rsidR="00436B85">
        <w:rPr>
          <w:sz w:val="24"/>
          <w:szCs w:val="24"/>
        </w:rPr>
        <w:t xml:space="preserve"> before the transfer</w:t>
      </w:r>
      <w:r w:rsidR="00B600E9">
        <w:rPr>
          <w:sz w:val="24"/>
          <w:szCs w:val="24"/>
        </w:rPr>
        <w:t xml:space="preserve"> occurs.</w:t>
      </w:r>
    </w:p>
    <w:p w:rsidR="00084830" w:rsidRDefault="00B9015F" w:rsidP="00084830">
      <w:pPr>
        <w:pStyle w:val="DHHSbullet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84830">
        <w:rPr>
          <w:sz w:val="24"/>
          <w:szCs w:val="24"/>
        </w:rPr>
        <w:t xml:space="preserve">o </w:t>
      </w:r>
      <w:r w:rsidR="00436B85">
        <w:rPr>
          <w:sz w:val="24"/>
          <w:szCs w:val="24"/>
        </w:rPr>
        <w:t xml:space="preserve">work with clients </w:t>
      </w:r>
      <w:r>
        <w:rPr>
          <w:sz w:val="24"/>
          <w:szCs w:val="24"/>
        </w:rPr>
        <w:t xml:space="preserve">throughout the program period </w:t>
      </w:r>
      <w:r w:rsidR="00436B85">
        <w:rPr>
          <w:sz w:val="24"/>
          <w:szCs w:val="24"/>
        </w:rPr>
        <w:t xml:space="preserve">to ensure they </w:t>
      </w:r>
      <w:r w:rsidR="00084830">
        <w:rPr>
          <w:sz w:val="24"/>
          <w:szCs w:val="24"/>
        </w:rPr>
        <w:t>have two weeks rent in advance at the time of transfer to Public Housing</w:t>
      </w:r>
      <w:r w:rsidR="00436B85">
        <w:rPr>
          <w:sz w:val="24"/>
          <w:szCs w:val="24"/>
        </w:rPr>
        <w:t>.</w:t>
      </w:r>
    </w:p>
    <w:p w:rsidR="0033453C" w:rsidRDefault="00084830" w:rsidP="008E368A">
      <w:pPr>
        <w:spacing w:before="360"/>
        <w:jc w:val="both"/>
        <w:rPr>
          <w:rFonts w:ascii="Arial" w:hAnsi="Arial" w:cs="Arial"/>
          <w:sz w:val="24"/>
        </w:rPr>
      </w:pPr>
      <w:r w:rsidRPr="00436B85">
        <w:rPr>
          <w:rFonts w:ascii="Arial" w:hAnsi="Arial" w:cs="Arial"/>
          <w:b/>
          <w:color w:val="006FB7"/>
          <w:sz w:val="28"/>
          <w:szCs w:val="28"/>
        </w:rPr>
        <w:t xml:space="preserve">It is important </w:t>
      </w:r>
      <w:r w:rsidRPr="008E7D0C">
        <w:rPr>
          <w:rFonts w:ascii="Arial" w:hAnsi="Arial" w:cs="Arial"/>
          <w:sz w:val="24"/>
        </w:rPr>
        <w:t xml:space="preserve">for you </w:t>
      </w:r>
      <w:r w:rsidR="00436B85">
        <w:rPr>
          <w:rFonts w:ascii="Arial" w:hAnsi="Arial" w:cs="Arial"/>
          <w:sz w:val="24"/>
        </w:rPr>
        <w:t xml:space="preserve">to support your client </w:t>
      </w:r>
      <w:r w:rsidRPr="008E7D0C">
        <w:rPr>
          <w:rFonts w:ascii="Arial" w:hAnsi="Arial" w:cs="Arial"/>
          <w:sz w:val="24"/>
        </w:rPr>
        <w:t xml:space="preserve">to understand that after </w:t>
      </w:r>
      <w:r w:rsidR="008E368A">
        <w:rPr>
          <w:rFonts w:ascii="Arial" w:hAnsi="Arial" w:cs="Arial"/>
          <w:sz w:val="24"/>
        </w:rPr>
        <w:t xml:space="preserve">a successful </w:t>
      </w:r>
      <w:r w:rsidRPr="008E7D0C">
        <w:rPr>
          <w:rFonts w:ascii="Arial" w:hAnsi="Arial" w:cs="Arial"/>
          <w:sz w:val="24"/>
        </w:rPr>
        <w:t>12</w:t>
      </w:r>
      <w:r w:rsidR="008E368A">
        <w:rPr>
          <w:rFonts w:ascii="Arial" w:hAnsi="Arial" w:cs="Arial"/>
          <w:sz w:val="24"/>
        </w:rPr>
        <w:t> </w:t>
      </w:r>
      <w:r w:rsidRPr="008E7D0C">
        <w:rPr>
          <w:rFonts w:ascii="Arial" w:hAnsi="Arial" w:cs="Arial"/>
          <w:sz w:val="24"/>
        </w:rPr>
        <w:t xml:space="preserve">months </w:t>
      </w:r>
      <w:r w:rsidR="00CE2F64">
        <w:rPr>
          <w:rFonts w:ascii="Arial" w:hAnsi="Arial" w:cs="Arial"/>
          <w:sz w:val="24"/>
        </w:rPr>
        <w:t xml:space="preserve">their </w:t>
      </w:r>
      <w:r w:rsidRPr="008E7D0C">
        <w:rPr>
          <w:rFonts w:ascii="Arial" w:hAnsi="Arial" w:cs="Arial"/>
          <w:sz w:val="24"/>
        </w:rPr>
        <w:t>landlord will change from a Transitional Housing Organisation</w:t>
      </w:r>
      <w:r w:rsidR="00CE2F64">
        <w:rPr>
          <w:rFonts w:ascii="Arial" w:hAnsi="Arial" w:cs="Arial"/>
          <w:sz w:val="24"/>
        </w:rPr>
        <w:t xml:space="preserve"> (Haven</w:t>
      </w:r>
      <w:r w:rsidR="00D07409">
        <w:rPr>
          <w:rFonts w:ascii="Arial" w:hAnsi="Arial" w:cs="Arial"/>
          <w:sz w:val="24"/>
        </w:rPr>
        <w:t>; Home, Safe</w:t>
      </w:r>
      <w:r w:rsidR="00CE2F64">
        <w:rPr>
          <w:rFonts w:ascii="Arial" w:hAnsi="Arial" w:cs="Arial"/>
          <w:sz w:val="24"/>
        </w:rPr>
        <w:t>)</w:t>
      </w:r>
      <w:r w:rsidRPr="008E7D0C">
        <w:rPr>
          <w:rFonts w:ascii="Arial" w:hAnsi="Arial" w:cs="Arial"/>
          <w:sz w:val="24"/>
        </w:rPr>
        <w:t xml:space="preserve"> to Public Housing and that this will entail some changes to the rules of </w:t>
      </w:r>
      <w:r w:rsidR="00436B85">
        <w:rPr>
          <w:rFonts w:ascii="Arial" w:hAnsi="Arial" w:cs="Arial"/>
          <w:sz w:val="24"/>
        </w:rPr>
        <w:t>their</w:t>
      </w:r>
      <w:r w:rsidRPr="008E7D0C">
        <w:rPr>
          <w:rFonts w:ascii="Arial" w:hAnsi="Arial" w:cs="Arial"/>
          <w:sz w:val="24"/>
        </w:rPr>
        <w:t xml:space="preserve"> tenancy, even though </w:t>
      </w:r>
      <w:r w:rsidR="00B600E9">
        <w:rPr>
          <w:rFonts w:ascii="Arial" w:hAnsi="Arial" w:cs="Arial"/>
          <w:sz w:val="24"/>
        </w:rPr>
        <w:t>they</w:t>
      </w:r>
      <w:r w:rsidRPr="008E7D0C">
        <w:rPr>
          <w:rFonts w:ascii="Arial" w:hAnsi="Arial" w:cs="Arial"/>
          <w:sz w:val="24"/>
        </w:rPr>
        <w:t xml:space="preserve"> do not move house. There will be </w:t>
      </w:r>
      <w:r w:rsidR="008E368A">
        <w:rPr>
          <w:rFonts w:ascii="Arial" w:hAnsi="Arial" w:cs="Arial"/>
          <w:sz w:val="24"/>
        </w:rPr>
        <w:t xml:space="preserve">a </w:t>
      </w:r>
      <w:r w:rsidRPr="008E7D0C">
        <w:rPr>
          <w:rFonts w:ascii="Arial" w:hAnsi="Arial" w:cs="Arial"/>
          <w:sz w:val="24"/>
        </w:rPr>
        <w:t xml:space="preserve">new </w:t>
      </w:r>
      <w:r w:rsidR="008E368A">
        <w:rPr>
          <w:rFonts w:ascii="Arial" w:hAnsi="Arial" w:cs="Arial"/>
          <w:sz w:val="24"/>
        </w:rPr>
        <w:t>of assessing their</w:t>
      </w:r>
      <w:r w:rsidRPr="008E7D0C">
        <w:rPr>
          <w:rFonts w:ascii="Arial" w:hAnsi="Arial" w:cs="Arial"/>
          <w:sz w:val="24"/>
        </w:rPr>
        <w:t xml:space="preserve"> income</w:t>
      </w:r>
      <w:r w:rsidR="008E368A">
        <w:rPr>
          <w:rFonts w:ascii="Arial" w:hAnsi="Arial" w:cs="Arial"/>
          <w:sz w:val="24"/>
        </w:rPr>
        <w:t xml:space="preserve"> to calculate rent and property maintenance issues will be reported to the Public Housing Call Centre.</w:t>
      </w:r>
      <w:r w:rsidR="0033453C">
        <w:rPr>
          <w:rFonts w:ascii="Arial" w:hAnsi="Arial" w:cs="Arial"/>
          <w:sz w:val="24"/>
        </w:rPr>
        <w:t xml:space="preserve"> </w:t>
      </w:r>
    </w:p>
    <w:p w:rsidR="00B2752E" w:rsidRPr="0033453C" w:rsidRDefault="0033453C" w:rsidP="008E368A">
      <w:pPr>
        <w:spacing w:before="360"/>
        <w:jc w:val="both"/>
        <w:rPr>
          <w:rFonts w:ascii="Arial" w:hAnsi="Arial" w:cs="Arial"/>
          <w:i/>
          <w:sz w:val="24"/>
        </w:rPr>
      </w:pPr>
      <w:r w:rsidRPr="0033453C">
        <w:rPr>
          <w:rFonts w:ascii="Arial" w:hAnsi="Arial" w:cs="Arial"/>
          <w:i/>
          <w:sz w:val="24"/>
        </w:rPr>
        <w:t>Please see over page for further information.</w:t>
      </w:r>
    </w:p>
    <w:p w:rsidR="008E368A" w:rsidRDefault="008E368A" w:rsidP="008E368A">
      <w:pPr>
        <w:spacing w:before="360"/>
        <w:jc w:val="both"/>
        <w:rPr>
          <w:rFonts w:ascii="Arial" w:hAnsi="Arial" w:cs="Arial"/>
          <w:sz w:val="24"/>
        </w:rPr>
      </w:pPr>
    </w:p>
    <w:p w:rsidR="008E368A" w:rsidRDefault="008E368A" w:rsidP="00B9015F">
      <w:pPr>
        <w:spacing w:before="120"/>
        <w:jc w:val="both"/>
        <w:rPr>
          <w:rFonts w:ascii="Arial" w:hAnsi="Arial" w:cs="Arial"/>
          <w:sz w:val="24"/>
        </w:rPr>
      </w:pPr>
    </w:p>
    <w:p w:rsidR="008E368A" w:rsidRDefault="008E368A" w:rsidP="00B9015F">
      <w:pPr>
        <w:spacing w:before="120"/>
        <w:jc w:val="both"/>
        <w:rPr>
          <w:rFonts w:ascii="Arial" w:hAnsi="Arial" w:cs="Arial"/>
          <w:sz w:val="24"/>
        </w:rPr>
      </w:pPr>
    </w:p>
    <w:p w:rsidR="008E368A" w:rsidRDefault="008E368A" w:rsidP="00B9015F">
      <w:pPr>
        <w:spacing w:before="120"/>
        <w:jc w:val="both"/>
        <w:rPr>
          <w:rFonts w:ascii="Arial" w:hAnsi="Arial" w:cs="Arial"/>
          <w:sz w:val="24"/>
        </w:rPr>
      </w:pPr>
    </w:p>
    <w:p w:rsidR="008E368A" w:rsidRDefault="008E368A" w:rsidP="00B9015F">
      <w:pPr>
        <w:spacing w:before="120"/>
        <w:jc w:val="both"/>
        <w:rPr>
          <w:rFonts w:ascii="Arial" w:hAnsi="Arial" w:cs="Arial"/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2A9C4" wp14:editId="6D4797AC">
                <wp:simplePos x="0" y="0"/>
                <wp:positionH relativeFrom="column">
                  <wp:posOffset>-34064</wp:posOffset>
                </wp:positionH>
                <wp:positionV relativeFrom="paragraph">
                  <wp:posOffset>-235412</wp:posOffset>
                </wp:positionV>
                <wp:extent cx="6321425" cy="2357792"/>
                <wp:effectExtent l="0" t="0" r="22225" b="2349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2357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B85" w:rsidRPr="006A0203" w:rsidRDefault="00436B85" w:rsidP="00436B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E7D0C">
                              <w:rPr>
                                <w:rFonts w:ascii="Arial" w:hAnsi="Arial" w:cs="Arial"/>
                                <w:sz w:val="24"/>
                              </w:rPr>
                              <w:t xml:space="preserve">Ask </w:t>
                            </w:r>
                            <w:r w:rsidR="00E024E0">
                              <w:rPr>
                                <w:rFonts w:ascii="Arial" w:hAnsi="Arial" w:cs="Arial"/>
                                <w:sz w:val="24"/>
                              </w:rPr>
                              <w:t>the</w:t>
                            </w:r>
                            <w:r w:rsidRPr="008E7D0C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Haven</w:t>
                            </w:r>
                            <w:r w:rsidR="00D07409">
                              <w:rPr>
                                <w:rFonts w:ascii="Arial" w:hAnsi="Arial" w:cs="Arial"/>
                                <w:sz w:val="24"/>
                              </w:rPr>
                              <w:t>; Home, Safe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Tenancy Worker for more information</w:t>
                            </w:r>
                            <w:r w:rsidR="0016652F">
                              <w:rPr>
                                <w:rFonts w:ascii="Arial" w:hAnsi="Arial" w:cs="Arial"/>
                                <w:sz w:val="24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463352" w:rsidRPr="00B07D77" w:rsidRDefault="00463352" w:rsidP="00436B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6B85" w:rsidRDefault="00436B85" w:rsidP="00436B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Your</w:t>
                            </w:r>
                            <w:r w:rsidR="00FD683E">
                              <w:rPr>
                                <w:rFonts w:ascii="Arial" w:hAnsi="Arial" w:cs="Arial"/>
                                <w:sz w:val="24"/>
                              </w:rPr>
                              <w:t xml:space="preserve"> client’s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Haven</w:t>
                            </w:r>
                            <w:r w:rsidR="00D07409">
                              <w:rPr>
                                <w:rFonts w:ascii="Arial" w:hAnsi="Arial" w:cs="Arial"/>
                                <w:sz w:val="24"/>
                              </w:rPr>
                              <w:t>; Home, Safe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Tenancy Manager is </w:t>
                            </w:r>
                            <w:r w:rsidR="00D07409">
                              <w:rPr>
                                <w:rFonts w:ascii="Arial" w:hAnsi="Arial" w:cs="Arial"/>
                                <w:sz w:val="24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______________</w:t>
                            </w:r>
                          </w:p>
                          <w:p w:rsidR="00436B85" w:rsidRPr="00B07D77" w:rsidRDefault="00436B85" w:rsidP="00436B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6B85" w:rsidRDefault="00436B85" w:rsidP="00436B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Telephone__________________</w:t>
                            </w:r>
                          </w:p>
                          <w:p w:rsidR="00CE2F64" w:rsidRPr="00B07D77" w:rsidRDefault="00CE2F64" w:rsidP="00436B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D683E" w:rsidRDefault="00FD683E" w:rsidP="00436B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Contact the Department of Health and Human Services on t</w:t>
                            </w:r>
                            <w:r w:rsidR="00436B85">
                              <w:rPr>
                                <w:rFonts w:ascii="Arial" w:hAnsi="Arial" w:cs="Arial"/>
                                <w:sz w:val="24"/>
                              </w:rPr>
                              <w:t>elephone 5434 5555</w:t>
                            </w:r>
                            <w:r w:rsidR="0016652F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="00436B8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FD683E" w:rsidRPr="00B07D77" w:rsidRDefault="00FD683E" w:rsidP="00436B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3453C" w:rsidRDefault="00463352" w:rsidP="00436B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The </w:t>
                            </w:r>
                            <w:r w:rsidR="00436B85">
                              <w:rPr>
                                <w:rFonts w:ascii="Arial" w:hAnsi="Arial" w:cs="Arial"/>
                                <w:sz w:val="24"/>
                              </w:rPr>
                              <w:t>H</w:t>
                            </w:r>
                            <w:r w:rsidR="008E368A">
                              <w:rPr>
                                <w:rFonts w:ascii="Arial" w:hAnsi="Arial" w:cs="Arial"/>
                                <w:sz w:val="24"/>
                              </w:rPr>
                              <w:t xml:space="preserve">ousing </w:t>
                            </w:r>
                            <w:r w:rsidR="00436B85">
                              <w:rPr>
                                <w:rFonts w:ascii="Arial" w:hAnsi="Arial" w:cs="Arial"/>
                                <w:sz w:val="24"/>
                              </w:rPr>
                              <w:t>A</w:t>
                            </w:r>
                            <w:r w:rsidR="008E368A">
                              <w:rPr>
                                <w:rFonts w:ascii="Arial" w:hAnsi="Arial" w:cs="Arial"/>
                                <w:sz w:val="24"/>
                              </w:rPr>
                              <w:t xml:space="preserve">dvice and </w:t>
                            </w:r>
                            <w:r w:rsidR="0033453C">
                              <w:rPr>
                                <w:rFonts w:ascii="Arial" w:hAnsi="Arial" w:cs="Arial"/>
                                <w:sz w:val="24"/>
                              </w:rPr>
                              <w:t>Assistance Team</w:t>
                            </w:r>
                            <w:r w:rsidR="00436B8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E368A">
                              <w:rPr>
                                <w:rFonts w:ascii="Arial" w:hAnsi="Arial" w:cs="Arial"/>
                                <w:sz w:val="24"/>
                              </w:rPr>
                              <w:t xml:space="preserve">(HAAT) </w:t>
                            </w:r>
                            <w:r w:rsidR="00FD683E">
                              <w:rPr>
                                <w:rFonts w:ascii="Arial" w:hAnsi="Arial" w:cs="Arial"/>
                                <w:sz w:val="24"/>
                              </w:rPr>
                              <w:t xml:space="preserve">can assist you with </w:t>
                            </w:r>
                            <w:r w:rsidR="0033453C">
                              <w:rPr>
                                <w:rFonts w:ascii="Arial" w:hAnsi="Arial" w:cs="Arial"/>
                                <w:sz w:val="24"/>
                              </w:rPr>
                              <w:t xml:space="preserve">further information about </w:t>
                            </w:r>
                            <w:r w:rsidR="00FD683E">
                              <w:rPr>
                                <w:rFonts w:ascii="Arial" w:hAnsi="Arial" w:cs="Arial"/>
                                <w:sz w:val="24"/>
                              </w:rPr>
                              <w:t>applications and eligibility criteria</w:t>
                            </w:r>
                            <w:r w:rsidR="0033453C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33453C" w:rsidRDefault="0033453C" w:rsidP="00436B8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436B85" w:rsidRDefault="0033453C" w:rsidP="00436B85"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The</w:t>
                            </w:r>
                            <w:r w:rsidR="00436B85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E024E0">
                              <w:rPr>
                                <w:rFonts w:ascii="Arial" w:hAnsi="Arial" w:cs="Arial"/>
                                <w:sz w:val="24"/>
                              </w:rPr>
                              <w:t xml:space="preserve">Residential Client Services </w:t>
                            </w:r>
                            <w:r w:rsidR="00436B85">
                              <w:rPr>
                                <w:rFonts w:ascii="Arial" w:hAnsi="Arial" w:cs="Arial"/>
                                <w:sz w:val="24"/>
                              </w:rPr>
                              <w:t>Allocations officer</w:t>
                            </w:r>
                            <w:r w:rsidR="00CE2F6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463352">
                              <w:rPr>
                                <w:rFonts w:ascii="Arial" w:hAnsi="Arial" w:cs="Arial"/>
                                <w:sz w:val="24"/>
                              </w:rPr>
                              <w:t xml:space="preserve">can assist with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further information about </w:t>
                            </w:r>
                            <w:r w:rsidR="00CE2F64">
                              <w:rPr>
                                <w:rFonts w:ascii="Arial" w:hAnsi="Arial" w:cs="Arial"/>
                                <w:sz w:val="24"/>
                              </w:rPr>
                              <w:t>income test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ing for rent calculation</w:t>
                            </w:r>
                            <w:r w:rsidR="00CE2F64">
                              <w:rPr>
                                <w:rFonts w:ascii="Arial" w:hAnsi="Arial" w:cs="Arial"/>
                                <w:sz w:val="24"/>
                              </w:rPr>
                              <w:t>/maintenance</w:t>
                            </w:r>
                            <w:r w:rsidR="00463352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 w:rsidR="00FD683E">
                              <w:rPr>
                                <w:rFonts w:ascii="Arial" w:hAnsi="Arial" w:cs="Arial"/>
                                <w:sz w:val="24"/>
                              </w:rPr>
                              <w:t xml:space="preserve"> transfer</w:t>
                            </w:r>
                            <w:r w:rsidR="00463352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public housing</w:t>
                            </w:r>
                            <w:r w:rsidR="00436B85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2A9C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-2.7pt;margin-top:-18.55pt;width:497.75pt;height:18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">
                <v:textbox>
                  <w:txbxContent>
                    <w:p w:rsidR="00436B85" w:rsidRPr="006A0203" w:rsidRDefault="00436B85" w:rsidP="00436B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E7D0C">
                        <w:rPr>
                          <w:rFonts w:ascii="Arial" w:hAnsi="Arial" w:cs="Arial"/>
                          <w:sz w:val="24"/>
                        </w:rPr>
                        <w:t xml:space="preserve">Ask </w:t>
                      </w:r>
                      <w:r w:rsidR="00E024E0">
                        <w:rPr>
                          <w:rFonts w:ascii="Arial" w:hAnsi="Arial" w:cs="Arial"/>
                          <w:sz w:val="24"/>
                        </w:rPr>
                        <w:t>the</w:t>
                      </w:r>
                      <w:r w:rsidRPr="008E7D0C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Haven</w:t>
                      </w:r>
                      <w:r w:rsidR="00D07409">
                        <w:rPr>
                          <w:rFonts w:ascii="Arial" w:hAnsi="Arial" w:cs="Arial"/>
                          <w:sz w:val="24"/>
                        </w:rPr>
                        <w:t>; Home, Safe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Tenancy Worker for more information</w:t>
                      </w:r>
                      <w:r w:rsidR="0016652F">
                        <w:rPr>
                          <w:rFonts w:ascii="Arial" w:hAnsi="Arial" w:cs="Arial"/>
                          <w:sz w:val="24"/>
                        </w:rPr>
                        <w:t>;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463352" w:rsidRPr="00B07D77" w:rsidRDefault="00463352" w:rsidP="00436B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6B85" w:rsidRDefault="00436B85" w:rsidP="00436B8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Your</w:t>
                      </w:r>
                      <w:r w:rsidR="00FD683E">
                        <w:rPr>
                          <w:rFonts w:ascii="Arial" w:hAnsi="Arial" w:cs="Arial"/>
                          <w:sz w:val="24"/>
                        </w:rPr>
                        <w:t xml:space="preserve"> client’s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Haven</w:t>
                      </w:r>
                      <w:r w:rsidR="00D07409">
                        <w:rPr>
                          <w:rFonts w:ascii="Arial" w:hAnsi="Arial" w:cs="Arial"/>
                          <w:sz w:val="24"/>
                        </w:rPr>
                        <w:t>; Home, Safe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Tenancy Manager is </w:t>
                      </w:r>
                      <w:r w:rsidR="00D07409">
                        <w:rPr>
                          <w:rFonts w:ascii="Arial" w:hAnsi="Arial" w:cs="Arial"/>
                          <w:sz w:val="24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______________</w:t>
                      </w:r>
                    </w:p>
                    <w:p w:rsidR="00436B85" w:rsidRPr="00B07D77" w:rsidRDefault="00436B85" w:rsidP="00436B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6B85" w:rsidRDefault="00436B85" w:rsidP="00436B8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Telephone__________________</w:t>
                      </w:r>
                    </w:p>
                    <w:p w:rsidR="00CE2F64" w:rsidRPr="00B07D77" w:rsidRDefault="00CE2F64" w:rsidP="00436B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D683E" w:rsidRDefault="00FD683E" w:rsidP="00436B8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Contact the Department of Health and Human Services on t</w:t>
                      </w:r>
                      <w:r w:rsidR="00436B85">
                        <w:rPr>
                          <w:rFonts w:ascii="Arial" w:hAnsi="Arial" w:cs="Arial"/>
                          <w:sz w:val="24"/>
                        </w:rPr>
                        <w:t>elephone 5434 5555</w:t>
                      </w:r>
                      <w:r w:rsidR="0016652F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="00436B8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FD683E" w:rsidRPr="00B07D77" w:rsidRDefault="00FD683E" w:rsidP="00436B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3453C" w:rsidRDefault="00463352" w:rsidP="00436B8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The </w:t>
                      </w:r>
                      <w:r w:rsidR="00436B85">
                        <w:rPr>
                          <w:rFonts w:ascii="Arial" w:hAnsi="Arial" w:cs="Arial"/>
                          <w:sz w:val="24"/>
                        </w:rPr>
                        <w:t>H</w:t>
                      </w:r>
                      <w:r w:rsidR="008E368A">
                        <w:rPr>
                          <w:rFonts w:ascii="Arial" w:hAnsi="Arial" w:cs="Arial"/>
                          <w:sz w:val="24"/>
                        </w:rPr>
                        <w:t xml:space="preserve">ousing </w:t>
                      </w:r>
                      <w:r w:rsidR="00436B85">
                        <w:rPr>
                          <w:rFonts w:ascii="Arial" w:hAnsi="Arial" w:cs="Arial"/>
                          <w:sz w:val="24"/>
                        </w:rPr>
                        <w:t>A</w:t>
                      </w:r>
                      <w:r w:rsidR="008E368A">
                        <w:rPr>
                          <w:rFonts w:ascii="Arial" w:hAnsi="Arial" w:cs="Arial"/>
                          <w:sz w:val="24"/>
                        </w:rPr>
                        <w:t xml:space="preserve">dvice and </w:t>
                      </w:r>
                      <w:r w:rsidR="0033453C">
                        <w:rPr>
                          <w:rFonts w:ascii="Arial" w:hAnsi="Arial" w:cs="Arial"/>
                          <w:sz w:val="24"/>
                        </w:rPr>
                        <w:t>Assistance Team</w:t>
                      </w:r>
                      <w:r w:rsidR="00436B8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E368A">
                        <w:rPr>
                          <w:rFonts w:ascii="Arial" w:hAnsi="Arial" w:cs="Arial"/>
                          <w:sz w:val="24"/>
                        </w:rPr>
                        <w:t xml:space="preserve">(HAAT) </w:t>
                      </w:r>
                      <w:r w:rsidR="00FD683E">
                        <w:rPr>
                          <w:rFonts w:ascii="Arial" w:hAnsi="Arial" w:cs="Arial"/>
                          <w:sz w:val="24"/>
                        </w:rPr>
                        <w:t xml:space="preserve">can assist you with </w:t>
                      </w:r>
                      <w:r w:rsidR="0033453C">
                        <w:rPr>
                          <w:rFonts w:ascii="Arial" w:hAnsi="Arial" w:cs="Arial"/>
                          <w:sz w:val="24"/>
                        </w:rPr>
                        <w:t xml:space="preserve">further information about </w:t>
                      </w:r>
                      <w:r w:rsidR="00FD683E">
                        <w:rPr>
                          <w:rFonts w:ascii="Arial" w:hAnsi="Arial" w:cs="Arial"/>
                          <w:sz w:val="24"/>
                        </w:rPr>
                        <w:t>applications and eligibility criteria</w:t>
                      </w:r>
                      <w:r w:rsidR="0033453C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33453C" w:rsidRDefault="0033453C" w:rsidP="00436B8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436B85" w:rsidRDefault="0033453C" w:rsidP="00436B85">
                      <w:r>
                        <w:rPr>
                          <w:rFonts w:ascii="Arial" w:hAnsi="Arial" w:cs="Arial"/>
                          <w:sz w:val="24"/>
                        </w:rPr>
                        <w:t>The</w:t>
                      </w:r>
                      <w:r w:rsidR="00436B85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E024E0">
                        <w:rPr>
                          <w:rFonts w:ascii="Arial" w:hAnsi="Arial" w:cs="Arial"/>
                          <w:sz w:val="24"/>
                        </w:rPr>
                        <w:t xml:space="preserve">Residential Client Services </w:t>
                      </w:r>
                      <w:r w:rsidR="00436B85">
                        <w:rPr>
                          <w:rFonts w:ascii="Arial" w:hAnsi="Arial" w:cs="Arial"/>
                          <w:sz w:val="24"/>
                        </w:rPr>
                        <w:t>Allocations officer</w:t>
                      </w:r>
                      <w:r w:rsidR="00CE2F6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463352">
                        <w:rPr>
                          <w:rFonts w:ascii="Arial" w:hAnsi="Arial" w:cs="Arial"/>
                          <w:sz w:val="24"/>
                        </w:rPr>
                        <w:t xml:space="preserve">can assist with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further information about </w:t>
                      </w:r>
                      <w:r w:rsidR="00CE2F64">
                        <w:rPr>
                          <w:rFonts w:ascii="Arial" w:hAnsi="Arial" w:cs="Arial"/>
                          <w:sz w:val="24"/>
                        </w:rPr>
                        <w:t>income test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ing for rent calculation</w:t>
                      </w:r>
                      <w:r w:rsidR="00CE2F64">
                        <w:rPr>
                          <w:rFonts w:ascii="Arial" w:hAnsi="Arial" w:cs="Arial"/>
                          <w:sz w:val="24"/>
                        </w:rPr>
                        <w:t>/maintenance</w:t>
                      </w:r>
                      <w:r w:rsidR="00463352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 w:rsidR="00FD683E">
                        <w:rPr>
                          <w:rFonts w:ascii="Arial" w:hAnsi="Arial" w:cs="Arial"/>
                          <w:sz w:val="24"/>
                        </w:rPr>
                        <w:t xml:space="preserve"> transfer</w:t>
                      </w:r>
                      <w:r w:rsidR="00463352">
                        <w:rPr>
                          <w:rFonts w:ascii="Arial" w:hAnsi="Arial" w:cs="Arial"/>
                          <w:sz w:val="24"/>
                        </w:rPr>
                        <w:t xml:space="preserve"> to public housing</w:t>
                      </w:r>
                      <w:r w:rsidR="00436B85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E368A" w:rsidRDefault="008E368A" w:rsidP="00B9015F">
      <w:pPr>
        <w:spacing w:before="120"/>
        <w:jc w:val="both"/>
        <w:rPr>
          <w:rFonts w:ascii="Arial" w:hAnsi="Arial" w:cs="Arial"/>
          <w:sz w:val="24"/>
        </w:rPr>
      </w:pPr>
    </w:p>
    <w:sectPr w:rsidR="008E368A" w:rsidSect="00CC0C72">
      <w:headerReference w:type="default" r:id="rId10"/>
      <w:footerReference w:type="default" r:id="rId11"/>
      <w:type w:val="continuous"/>
      <w:pgSz w:w="11906" w:h="16838" w:code="9"/>
      <w:pgMar w:top="1418" w:right="851" w:bottom="1134" w:left="851" w:header="567" w:footer="510" w:gutter="0"/>
      <w:cols w:num="2"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FCD" w:rsidRDefault="00184FCD">
      <w:r>
        <w:separator/>
      </w:r>
    </w:p>
  </w:endnote>
  <w:endnote w:type="continuationSeparator" w:id="0">
    <w:p w:rsidR="00184FCD" w:rsidRDefault="0018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4" w:rsidRPr="00F65AA9" w:rsidRDefault="00D07409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5A33118F" wp14:editId="743593A8">
          <wp:simplePos x="0" y="0"/>
          <wp:positionH relativeFrom="page">
            <wp:posOffset>-3810</wp:posOffset>
          </wp:positionH>
          <wp:positionV relativeFrom="page">
            <wp:posOffset>9901555</wp:posOffset>
          </wp:positionV>
          <wp:extent cx="7563485" cy="785495"/>
          <wp:effectExtent l="0" t="0" r="0" b="0"/>
          <wp:wrapNone/>
          <wp:docPr id="10" name="Picture 10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60138F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FCD" w:rsidRDefault="00184FCD" w:rsidP="002862F1">
      <w:pPr>
        <w:spacing w:before="120"/>
      </w:pPr>
      <w:r>
        <w:separator/>
      </w:r>
    </w:p>
  </w:footnote>
  <w:footnote w:type="continuationSeparator" w:id="0">
    <w:p w:rsidR="00184FCD" w:rsidRDefault="0018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CD"/>
    <w:rsid w:val="000072B6"/>
    <w:rsid w:val="0001021B"/>
    <w:rsid w:val="00011D89"/>
    <w:rsid w:val="00024D89"/>
    <w:rsid w:val="00033D81"/>
    <w:rsid w:val="00041BF0"/>
    <w:rsid w:val="0004536B"/>
    <w:rsid w:val="00045964"/>
    <w:rsid w:val="00046B68"/>
    <w:rsid w:val="000527DD"/>
    <w:rsid w:val="000578B2"/>
    <w:rsid w:val="00060959"/>
    <w:rsid w:val="000663CD"/>
    <w:rsid w:val="00074219"/>
    <w:rsid w:val="00074ED5"/>
    <w:rsid w:val="00084830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72BC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652F"/>
    <w:rsid w:val="001771DD"/>
    <w:rsid w:val="00177995"/>
    <w:rsid w:val="001779CE"/>
    <w:rsid w:val="00177A8C"/>
    <w:rsid w:val="0018146E"/>
    <w:rsid w:val="00184FCD"/>
    <w:rsid w:val="00186B3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3001"/>
    <w:rsid w:val="0022701F"/>
    <w:rsid w:val="002333F5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5006"/>
    <w:rsid w:val="002E01D0"/>
    <w:rsid w:val="002E161D"/>
    <w:rsid w:val="002E6C95"/>
    <w:rsid w:val="002E7C36"/>
    <w:rsid w:val="002F5F31"/>
    <w:rsid w:val="00302216"/>
    <w:rsid w:val="00303E53"/>
    <w:rsid w:val="00306E5F"/>
    <w:rsid w:val="00307E14"/>
    <w:rsid w:val="00314054"/>
    <w:rsid w:val="00316F27"/>
    <w:rsid w:val="00327870"/>
    <w:rsid w:val="0033259D"/>
    <w:rsid w:val="0033453C"/>
    <w:rsid w:val="003406C6"/>
    <w:rsid w:val="003418CC"/>
    <w:rsid w:val="003459BD"/>
    <w:rsid w:val="00350D38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3E8F"/>
    <w:rsid w:val="003D6475"/>
    <w:rsid w:val="003F0445"/>
    <w:rsid w:val="003F0CF0"/>
    <w:rsid w:val="003F3289"/>
    <w:rsid w:val="00401FCF"/>
    <w:rsid w:val="00406285"/>
    <w:rsid w:val="004148F9"/>
    <w:rsid w:val="0042084E"/>
    <w:rsid w:val="00421EEF"/>
    <w:rsid w:val="00424D65"/>
    <w:rsid w:val="00436B85"/>
    <w:rsid w:val="00441F04"/>
    <w:rsid w:val="00442C6C"/>
    <w:rsid w:val="00443CBE"/>
    <w:rsid w:val="00443E8A"/>
    <w:rsid w:val="004441BC"/>
    <w:rsid w:val="0045230A"/>
    <w:rsid w:val="00452598"/>
    <w:rsid w:val="00457337"/>
    <w:rsid w:val="00463352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7A95"/>
    <w:rsid w:val="00572031"/>
    <w:rsid w:val="00576E84"/>
    <w:rsid w:val="00582B8C"/>
    <w:rsid w:val="00586A55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138F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0203"/>
    <w:rsid w:val="006A18C2"/>
    <w:rsid w:val="006B077C"/>
    <w:rsid w:val="006D2A3F"/>
    <w:rsid w:val="006E138B"/>
    <w:rsid w:val="006F1FDC"/>
    <w:rsid w:val="007013EF"/>
    <w:rsid w:val="007216AA"/>
    <w:rsid w:val="00721AB5"/>
    <w:rsid w:val="00721DEF"/>
    <w:rsid w:val="00724A43"/>
    <w:rsid w:val="007342EF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7301"/>
    <w:rsid w:val="007C7859"/>
    <w:rsid w:val="007D163A"/>
    <w:rsid w:val="007D2BDE"/>
    <w:rsid w:val="007D2FB6"/>
    <w:rsid w:val="007E0DE2"/>
    <w:rsid w:val="007F31B6"/>
    <w:rsid w:val="007F546C"/>
    <w:rsid w:val="007F665E"/>
    <w:rsid w:val="00800412"/>
    <w:rsid w:val="0080587B"/>
    <w:rsid w:val="00806468"/>
    <w:rsid w:val="008064AC"/>
    <w:rsid w:val="008155F0"/>
    <w:rsid w:val="00816735"/>
    <w:rsid w:val="00820141"/>
    <w:rsid w:val="008204A8"/>
    <w:rsid w:val="00820E0C"/>
    <w:rsid w:val="00823DFB"/>
    <w:rsid w:val="008338A2"/>
    <w:rsid w:val="0084417C"/>
    <w:rsid w:val="00853EE4"/>
    <w:rsid w:val="00855535"/>
    <w:rsid w:val="008633F0"/>
    <w:rsid w:val="00864A0B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B2EE4"/>
    <w:rsid w:val="008B4D3D"/>
    <w:rsid w:val="008B57C7"/>
    <w:rsid w:val="008C2F92"/>
    <w:rsid w:val="008C65EB"/>
    <w:rsid w:val="008D4236"/>
    <w:rsid w:val="008D462F"/>
    <w:rsid w:val="008D46E5"/>
    <w:rsid w:val="008E368A"/>
    <w:rsid w:val="008E4376"/>
    <w:rsid w:val="008E7A0A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61400"/>
    <w:rsid w:val="00963646"/>
    <w:rsid w:val="009853E1"/>
    <w:rsid w:val="00986E6B"/>
    <w:rsid w:val="00990E7A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33FB"/>
    <w:rsid w:val="009E496F"/>
    <w:rsid w:val="009E4B0D"/>
    <w:rsid w:val="009E7F92"/>
    <w:rsid w:val="009F02A3"/>
    <w:rsid w:val="009F2F27"/>
    <w:rsid w:val="009F60F2"/>
    <w:rsid w:val="009F6745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72E5"/>
    <w:rsid w:val="00A96E65"/>
    <w:rsid w:val="00A97C72"/>
    <w:rsid w:val="00AA63D4"/>
    <w:rsid w:val="00AB06E8"/>
    <w:rsid w:val="00AB128F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6571"/>
    <w:rsid w:val="00B068BA"/>
    <w:rsid w:val="00B07D77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31E8"/>
    <w:rsid w:val="00B45141"/>
    <w:rsid w:val="00B5273A"/>
    <w:rsid w:val="00B600E9"/>
    <w:rsid w:val="00B62B50"/>
    <w:rsid w:val="00B635B7"/>
    <w:rsid w:val="00B63AE8"/>
    <w:rsid w:val="00B65950"/>
    <w:rsid w:val="00B672C0"/>
    <w:rsid w:val="00B75646"/>
    <w:rsid w:val="00B9015F"/>
    <w:rsid w:val="00B90729"/>
    <w:rsid w:val="00B907DA"/>
    <w:rsid w:val="00B950BC"/>
    <w:rsid w:val="00B9714C"/>
    <w:rsid w:val="00BA3F8D"/>
    <w:rsid w:val="00BB7A10"/>
    <w:rsid w:val="00BC7D4F"/>
    <w:rsid w:val="00BC7ED7"/>
    <w:rsid w:val="00BD2850"/>
    <w:rsid w:val="00BE28D2"/>
    <w:rsid w:val="00BF7F58"/>
    <w:rsid w:val="00C01381"/>
    <w:rsid w:val="00C079B8"/>
    <w:rsid w:val="00C123EA"/>
    <w:rsid w:val="00C12A49"/>
    <w:rsid w:val="00C133EE"/>
    <w:rsid w:val="00C27DE9"/>
    <w:rsid w:val="00C33388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C0C72"/>
    <w:rsid w:val="00CC2BFD"/>
    <w:rsid w:val="00CD3476"/>
    <w:rsid w:val="00CD64DF"/>
    <w:rsid w:val="00CE2F64"/>
    <w:rsid w:val="00CF2F50"/>
    <w:rsid w:val="00D02919"/>
    <w:rsid w:val="00D04C61"/>
    <w:rsid w:val="00D05B8D"/>
    <w:rsid w:val="00D065A2"/>
    <w:rsid w:val="00D07409"/>
    <w:rsid w:val="00D07F00"/>
    <w:rsid w:val="00D33E72"/>
    <w:rsid w:val="00D35BD6"/>
    <w:rsid w:val="00D361B5"/>
    <w:rsid w:val="00D411A2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24E0"/>
    <w:rsid w:val="00E14552"/>
    <w:rsid w:val="00E170DC"/>
    <w:rsid w:val="00E26818"/>
    <w:rsid w:val="00E27FFC"/>
    <w:rsid w:val="00E30B15"/>
    <w:rsid w:val="00E40181"/>
    <w:rsid w:val="00E629A1"/>
    <w:rsid w:val="00E753FA"/>
    <w:rsid w:val="00E817C6"/>
    <w:rsid w:val="00E82C55"/>
    <w:rsid w:val="00E92AC3"/>
    <w:rsid w:val="00E93334"/>
    <w:rsid w:val="00E9571B"/>
    <w:rsid w:val="00EB00E0"/>
    <w:rsid w:val="00EC059F"/>
    <w:rsid w:val="00EC1F24"/>
    <w:rsid w:val="00EC22F6"/>
    <w:rsid w:val="00ED5B9B"/>
    <w:rsid w:val="00ED6BAD"/>
    <w:rsid w:val="00ED7447"/>
    <w:rsid w:val="00EE0AA8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50A9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5AE"/>
    <w:rsid w:val="00F72C2C"/>
    <w:rsid w:val="00F76CAB"/>
    <w:rsid w:val="00F772C6"/>
    <w:rsid w:val="00F85195"/>
    <w:rsid w:val="00F938BA"/>
    <w:rsid w:val="00FA2C46"/>
    <w:rsid w:val="00FB4CDA"/>
    <w:rsid w:val="00FC0F81"/>
    <w:rsid w:val="00FC1E07"/>
    <w:rsid w:val="00FC395C"/>
    <w:rsid w:val="00FD3766"/>
    <w:rsid w:val="00FD47C4"/>
    <w:rsid w:val="00FD683E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C745D8A0-AA82-4098-8B21-D6AB9969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1779CE"/>
    <w:rPr>
      <w:sz w:val="32"/>
      <w:szCs w:val="24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45964"/>
    <w:pPr>
      <w:keepNext/>
      <w:keepLines/>
      <w:spacing w:before="400" w:after="280" w:line="480" w:lineRule="atLeast"/>
      <w:outlineLvl w:val="0"/>
    </w:pPr>
    <w:rPr>
      <w:rFonts w:ascii="Arial" w:eastAsia="MS Gothic" w:hAnsi="Arial" w:cs="Arial"/>
      <w:bCs/>
      <w:color w:val="006FB7"/>
      <w:kern w:val="32"/>
      <w:sz w:val="40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45964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6FB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45964"/>
    <w:rPr>
      <w:rFonts w:ascii="Arial" w:eastAsia="MS Gothic" w:hAnsi="Arial" w:cs="Arial"/>
      <w:bCs/>
      <w:color w:val="006FB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45964"/>
    <w:rPr>
      <w:rFonts w:ascii="Arial" w:hAnsi="Arial"/>
      <w:b/>
      <w:color w:val="006FB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45964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45964"/>
    <w:rPr>
      <w:rFonts w:ascii="Arial" w:hAnsi="Arial"/>
      <w:b/>
      <w:color w:val="006FB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152073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45964"/>
    <w:pPr>
      <w:spacing w:before="80" w:after="60"/>
    </w:pPr>
    <w:rPr>
      <w:rFonts w:ascii="Arial" w:hAnsi="Arial"/>
      <w:b/>
      <w:color w:val="006FB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8E3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8%20Blue%202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360D-9970-4C49-97B5-CD54A187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08 Blue 285</Template>
  <TotalTime>0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2468</CharactersWithSpaces>
  <SharedDoc>false</SharedDoc>
  <HyperlinkBase/>
  <HLinks>
    <vt:vector size="36" baseType="variant">
      <vt:variant>
        <vt:i4>2555941</vt:i4>
      </vt:variant>
      <vt:variant>
        <vt:i4>30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27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_Toc410976290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_Toc410976289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_Toc410976288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_Toc410976287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Barkell</dc:creator>
  <cp:lastModifiedBy>Kylie Emonson</cp:lastModifiedBy>
  <cp:revision>2</cp:revision>
  <cp:lastPrinted>2015-12-29T23:45:00Z</cp:lastPrinted>
  <dcterms:created xsi:type="dcterms:W3CDTF">2016-01-06T00:02:00Z</dcterms:created>
  <dcterms:modified xsi:type="dcterms:W3CDTF">2016-01-06T00:02:00Z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