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F" w:rsidRPr="004946F4" w:rsidRDefault="00AC21A1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6290"/>
            <wp:effectExtent l="0" t="0" r="0" b="0"/>
            <wp:wrapNone/>
            <wp:docPr id="20" name="Picture 20" descr="Factsheet Banner 07 Sage 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ctsheet Banner 07 Sage 54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F36AF" w:rsidTr="00D33E72">
        <w:trPr>
          <w:trHeight w:val="1276"/>
        </w:trPr>
        <w:tc>
          <w:tcPr>
            <w:tcW w:w="10137" w:type="dxa"/>
            <w:shd w:val="clear" w:color="auto" w:fill="auto"/>
            <w:vAlign w:val="bottom"/>
          </w:tcPr>
          <w:p w:rsidR="004946F4" w:rsidRPr="00161AA0" w:rsidRDefault="00627DA7" w:rsidP="00AC21A1">
            <w:pPr>
              <w:pStyle w:val="DHHSmainheading"/>
              <w:rPr>
                <w:lang w:bidi="ar-SA"/>
              </w:rPr>
            </w:pPr>
            <w:r w:rsidRPr="00161AA0">
              <w:rPr>
                <w:lang w:bidi="ar-SA"/>
              </w:rPr>
              <w:t xml:space="preserve">DHHS </w:t>
            </w:r>
            <w:r w:rsidR="00AC21A1" w:rsidRPr="00AC21A1">
              <w:rPr>
                <w:lang w:bidi="ar-SA"/>
              </w:rPr>
              <w:t>Specialist Homelessness Sector</w:t>
            </w:r>
          </w:p>
        </w:tc>
      </w:tr>
      <w:tr w:rsidR="005D6597" w:rsidTr="00DE6028">
        <w:trPr>
          <w:trHeight w:val="494"/>
        </w:trPr>
        <w:tc>
          <w:tcPr>
            <w:tcW w:w="10137" w:type="dxa"/>
            <w:shd w:val="clear" w:color="auto" w:fill="auto"/>
            <w:tcMar>
              <w:top w:w="510" w:type="dxa"/>
            </w:tcMar>
          </w:tcPr>
          <w:p w:rsidR="005D6597" w:rsidRDefault="00AC21A1" w:rsidP="00AC21A1">
            <w:pPr>
              <w:pStyle w:val="DHHSmainsubheading"/>
            </w:pPr>
            <w:r w:rsidRPr="00AC21A1">
              <w:rPr>
                <w:sz w:val="30"/>
                <w:szCs w:val="30"/>
                <w:lang w:bidi="ar-SA"/>
              </w:rPr>
              <w:t xml:space="preserve">Training Reimbursement </w:t>
            </w:r>
            <w:r>
              <w:rPr>
                <w:sz w:val="30"/>
                <w:szCs w:val="30"/>
                <w:lang w:bidi="ar-SA"/>
              </w:rPr>
              <w:t>P</w:t>
            </w:r>
            <w:r w:rsidRPr="00AC21A1">
              <w:rPr>
                <w:sz w:val="30"/>
                <w:szCs w:val="30"/>
                <w:lang w:bidi="ar-SA"/>
              </w:rPr>
              <w:t>olicy</w:t>
            </w:r>
          </w:p>
        </w:tc>
      </w:tr>
    </w:tbl>
    <w:p w:rsidR="00AC21A1" w:rsidRDefault="00AC21A1" w:rsidP="00AC21A1">
      <w:pPr>
        <w:pStyle w:val="DHHStablecaption"/>
      </w:pPr>
      <w:r>
        <w:t>REIMBURSEMENTS FOR SHS TRAINING CALENDAR LISTED EVENTS ONLY</w:t>
      </w:r>
    </w:p>
    <w:p w:rsidR="00AC21A1" w:rsidRDefault="00AC21A1" w:rsidP="00AC21A1">
      <w:pPr>
        <w:pStyle w:val="Sectionbreakfirstpage"/>
      </w:pPr>
      <w:r>
        <w:t xml:space="preserve">The Department of Health and Human Services training reimbursement policy </w:t>
      </w:r>
      <w:r>
        <w:t xml:space="preserve">is </w:t>
      </w:r>
      <w:r>
        <w:t xml:space="preserve">for rural and crisis accommodation staff in Specialist Homelessness Sector funded agencies to access </w:t>
      </w:r>
      <w:r>
        <w:t>learning and</w:t>
      </w:r>
      <w:r>
        <w:t xml:space="preserve"> development </w:t>
      </w:r>
      <w:r>
        <w:t xml:space="preserve">opportunities. </w:t>
      </w:r>
      <w:r>
        <w:t xml:space="preserve">Reimbursements are limited to </w:t>
      </w:r>
      <w:r>
        <w:t>s</w:t>
      </w:r>
      <w:r>
        <w:t>taff whose position is funded through the Department’s service agreements.  Generally, these workers are employed in one of the following funded programs:</w:t>
      </w:r>
    </w:p>
    <w:p w:rsidR="00AC21A1" w:rsidRDefault="00AC21A1" w:rsidP="00AC21A1">
      <w:pPr>
        <w:pStyle w:val="DHHStablebullet"/>
      </w:pPr>
      <w:r>
        <w:t xml:space="preserve">Transitional Housing Manager (THM) </w:t>
      </w:r>
    </w:p>
    <w:p w:rsidR="00AC21A1" w:rsidRDefault="00AC21A1" w:rsidP="00AC21A1">
      <w:pPr>
        <w:pStyle w:val="DHHStablebullet"/>
      </w:pPr>
      <w:r>
        <w:t>Community Managed Housing</w:t>
      </w:r>
    </w:p>
    <w:p w:rsidR="00AC21A1" w:rsidRDefault="00AC21A1" w:rsidP="00AC21A1">
      <w:pPr>
        <w:pStyle w:val="DHHStablebullet"/>
      </w:pPr>
      <w:r>
        <w:t>Housing Information &amp; Referral (HIR)</w:t>
      </w:r>
    </w:p>
    <w:p w:rsidR="00AC21A1" w:rsidRDefault="00AC21A1" w:rsidP="00AC21A1">
      <w:pPr>
        <w:pStyle w:val="DHHStablebullet"/>
      </w:pPr>
      <w:r>
        <w:t>Homelessness Assistance Programs</w:t>
      </w:r>
    </w:p>
    <w:p w:rsidR="00AC21A1" w:rsidRDefault="00AC21A1" w:rsidP="00AC21A1">
      <w:pPr>
        <w:pStyle w:val="DHHStablebullet"/>
      </w:pPr>
      <w:r>
        <w:t>Family Violence Programs</w:t>
      </w:r>
    </w:p>
    <w:p w:rsidR="00AC21A1" w:rsidRDefault="00AC21A1" w:rsidP="00AC21A1">
      <w:pPr>
        <w:pStyle w:val="DHHStablebullet"/>
      </w:pPr>
      <w:r>
        <w:t xml:space="preserve">Social Housing Advocacy and Support Program </w:t>
      </w:r>
    </w:p>
    <w:p w:rsidR="00AC21A1" w:rsidRDefault="00AC21A1" w:rsidP="00AC21A1">
      <w:pPr>
        <w:pStyle w:val="DHHSbullet1lastline"/>
      </w:pPr>
      <w:r>
        <w:t>Indigenous Tenancies at Risk</w:t>
      </w:r>
    </w:p>
    <w:p w:rsidR="00AC21A1" w:rsidRDefault="00AC21A1" w:rsidP="00AC21A1">
      <w:pPr>
        <w:pStyle w:val="DHHSbody"/>
      </w:pPr>
      <w:r>
        <w:t xml:space="preserve">The reimbursement rates assist rural staff that need to travel longer distances to attend training; and for rostered staff in 24 hour crisis support services.  </w:t>
      </w:r>
    </w:p>
    <w:p w:rsidR="00AC21A1" w:rsidRDefault="00AC21A1" w:rsidP="00AC21A1">
      <w:pPr>
        <w:pStyle w:val="Heading3"/>
      </w:pPr>
      <w:r>
        <w:t>Criteria</w:t>
      </w:r>
    </w:p>
    <w:p w:rsidR="00AC21A1" w:rsidRDefault="00AC21A1" w:rsidP="00AC21A1">
      <w:pPr>
        <w:pStyle w:val="Sectionbreakfirstpage"/>
      </w:pPr>
      <w:r>
        <w:t>Agencies need to be aware of the following criteria for reimbursements:</w:t>
      </w:r>
    </w:p>
    <w:p w:rsidR="00AC21A1" w:rsidRDefault="00AC21A1" w:rsidP="00AC21A1">
      <w:pPr>
        <w:pStyle w:val="DHHStablecaption"/>
      </w:pPr>
      <w:r>
        <w:t>Inclusions</w:t>
      </w:r>
    </w:p>
    <w:p w:rsidR="00AC21A1" w:rsidRDefault="00AC21A1" w:rsidP="00AC21A1">
      <w:pPr>
        <w:pStyle w:val="DHHStablebullet"/>
      </w:pPr>
      <w:r>
        <w:t>A minimum distance of 200km one way applies to all travel, accommodation and meals reimbursements.</w:t>
      </w:r>
    </w:p>
    <w:p w:rsidR="00AC21A1" w:rsidRDefault="00AC21A1" w:rsidP="00AC21A1">
      <w:pPr>
        <w:pStyle w:val="DHHStablebullet"/>
      </w:pPr>
      <w:r>
        <w:t xml:space="preserve">Agencies MUST claim on behalf of the worker.  Agencies should reimburse staff immediately for out of pocket expenses incurred for travel, accommodation and meal expenses. </w:t>
      </w:r>
    </w:p>
    <w:p w:rsidR="00AC21A1" w:rsidRDefault="00AC21A1" w:rsidP="00AC21A1">
      <w:pPr>
        <w:pStyle w:val="DHHStablebullet"/>
      </w:pPr>
      <w:r>
        <w:t>A Tax Invoice MUST accompany the relevant claim form/s.</w:t>
      </w:r>
    </w:p>
    <w:p w:rsidR="00AC21A1" w:rsidRDefault="00AC21A1" w:rsidP="00AC21A1">
      <w:pPr>
        <w:pStyle w:val="DHHStablebullet"/>
      </w:pPr>
      <w:r>
        <w:t>All claims MUST be approved by a manager/board member.</w:t>
      </w:r>
    </w:p>
    <w:p w:rsidR="00AC21A1" w:rsidRDefault="00AC21A1" w:rsidP="00AC21A1">
      <w:pPr>
        <w:pStyle w:val="DHHStablebullet"/>
      </w:pPr>
      <w:r>
        <w:t>Reimbursements are limited to maximum rates only.</w:t>
      </w:r>
    </w:p>
    <w:p w:rsidR="00AC21A1" w:rsidRDefault="00AC21A1" w:rsidP="00AC21A1">
      <w:pPr>
        <w:pStyle w:val="DHHStablebullet"/>
      </w:pPr>
      <w:r>
        <w:t>Receipts must be attached for all accommodation, travel and meals.</w:t>
      </w:r>
    </w:p>
    <w:p w:rsidR="00AC21A1" w:rsidRDefault="00AC21A1" w:rsidP="00AC21A1">
      <w:pPr>
        <w:pStyle w:val="DHHStablecaption"/>
      </w:pPr>
      <w:r>
        <w:t>Exclusions</w:t>
      </w:r>
    </w:p>
    <w:p w:rsidR="00AC21A1" w:rsidRDefault="00AC21A1" w:rsidP="00AC21A1">
      <w:pPr>
        <w:pStyle w:val="DHHStablebullet"/>
      </w:pPr>
      <w:r>
        <w:t xml:space="preserve">Reimbursement for private car travel is no longer available. </w:t>
      </w:r>
    </w:p>
    <w:p w:rsidR="00AC21A1" w:rsidRDefault="00AC21A1" w:rsidP="00AC21A1">
      <w:pPr>
        <w:pStyle w:val="DHHStablebullet"/>
      </w:pPr>
      <w:r>
        <w:t>There is no reimbursement for expenditure on alcohol, mini bar, in-house movies or vehicle parking.</w:t>
      </w:r>
    </w:p>
    <w:p w:rsidR="00AC21A1" w:rsidRDefault="00AC21A1" w:rsidP="00AC21A1">
      <w:pPr>
        <w:pStyle w:val="DHHStablebullet"/>
      </w:pPr>
      <w:r>
        <w:t>Prior approval for accommodation, travel &amp; meals is not required for claiming costs associated with events on the standard training calendar – Wodonga TAFE.</w:t>
      </w:r>
    </w:p>
    <w:p w:rsidR="00AC21A1" w:rsidRDefault="00AC21A1" w:rsidP="00AC21A1">
      <w:pPr>
        <w:pStyle w:val="DHHStablebullet"/>
      </w:pPr>
      <w:r>
        <w:t>Under normal circumstances the maximum amount reimbursable for a single event will not exceed $500, regardless of the number of claimants.</w:t>
      </w:r>
    </w:p>
    <w:p w:rsidR="00AC21A1" w:rsidRDefault="00AC21A1" w:rsidP="00AC21A1">
      <w:pPr>
        <w:pStyle w:val="DHHStablebullet"/>
      </w:pPr>
      <w:r>
        <w:t>Due to very high purchasing costs, reimbursements will not be available for costs associated in attending Certificate and Diploma courses.</w:t>
      </w:r>
    </w:p>
    <w:p w:rsidR="00AC21A1" w:rsidRDefault="00AC21A1" w:rsidP="00AC21A1">
      <w:pPr>
        <w:pStyle w:val="DHHStablebullet"/>
      </w:pPr>
      <w:r>
        <w:t>Any workshop fees charged by a training provider (i.e. $44 for SHS courses) will not be reimbursed.</w:t>
      </w:r>
    </w:p>
    <w:p w:rsidR="00AC21A1" w:rsidRDefault="00AC21A1" w:rsidP="00AC21A1">
      <w:pPr>
        <w:pStyle w:val="DHHStablebullet"/>
      </w:pPr>
      <w:r>
        <w:t>Claims for relief staff in crisis support services must include a Relief Staff Verification Form.</w:t>
      </w:r>
    </w:p>
    <w:p w:rsidR="00AC21A1" w:rsidRDefault="00AC21A1" w:rsidP="00AC21A1">
      <w:pPr>
        <w:pStyle w:val="Heading3"/>
      </w:pPr>
      <w:r>
        <w:lastRenderedPageBreak/>
        <w:t>Reimbursement Rates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448"/>
        <w:gridCol w:w="3995"/>
        <w:gridCol w:w="3565"/>
      </w:tblGrid>
      <w:tr w:rsidR="00AC21A1" w:rsidRPr="000806EB" w:rsidTr="00E60FDE">
        <w:tc>
          <w:tcPr>
            <w:tcW w:w="2448" w:type="dxa"/>
            <w:shd w:val="clear" w:color="auto" w:fill="auto"/>
          </w:tcPr>
          <w:p w:rsidR="00AC21A1" w:rsidRPr="000806EB" w:rsidRDefault="00AC21A1" w:rsidP="00AC21A1">
            <w:pPr>
              <w:pStyle w:val="DHHStablecolhead"/>
            </w:pPr>
            <w:r w:rsidRPr="000806EB">
              <w:t>24 Hr Crisis Accommodation Backfill:</w:t>
            </w:r>
          </w:p>
          <w:p w:rsidR="00AC21A1" w:rsidRPr="000806EB" w:rsidRDefault="00AC21A1" w:rsidP="00AC21A1">
            <w:pPr>
              <w:pStyle w:val="DHHStablecolhead"/>
            </w:pPr>
          </w:p>
        </w:tc>
        <w:tc>
          <w:tcPr>
            <w:tcW w:w="399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Maximum $200 per day</w:t>
            </w:r>
          </w:p>
        </w:tc>
        <w:tc>
          <w:tcPr>
            <w:tcW w:w="356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</w:p>
        </w:tc>
      </w:tr>
      <w:tr w:rsidR="00AC21A1" w:rsidRPr="000806EB" w:rsidTr="00E60FDE">
        <w:tc>
          <w:tcPr>
            <w:tcW w:w="2448" w:type="dxa"/>
            <w:shd w:val="clear" w:color="auto" w:fill="auto"/>
          </w:tcPr>
          <w:p w:rsidR="00AC21A1" w:rsidRPr="000806EB" w:rsidRDefault="00AC21A1" w:rsidP="00AC21A1">
            <w:pPr>
              <w:pStyle w:val="DHHStablecolhead"/>
            </w:pPr>
            <w:r w:rsidRPr="000806EB">
              <w:t>Accommodation:</w:t>
            </w:r>
          </w:p>
        </w:tc>
        <w:tc>
          <w:tcPr>
            <w:tcW w:w="399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Maximum $150 (metro) p/n</w:t>
            </w:r>
          </w:p>
        </w:tc>
        <w:tc>
          <w:tcPr>
            <w:tcW w:w="356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$110 (rural) p/n</w:t>
            </w:r>
          </w:p>
        </w:tc>
      </w:tr>
      <w:tr w:rsidR="00AC21A1" w:rsidRPr="000806EB" w:rsidTr="00E60FDE">
        <w:tc>
          <w:tcPr>
            <w:tcW w:w="2448" w:type="dxa"/>
            <w:shd w:val="clear" w:color="auto" w:fill="auto"/>
          </w:tcPr>
          <w:p w:rsidR="00AC21A1" w:rsidRPr="000806EB" w:rsidRDefault="00AC21A1" w:rsidP="00AC21A1">
            <w:pPr>
              <w:pStyle w:val="DHHStablecolhead"/>
            </w:pPr>
            <w:r w:rsidRPr="000806EB">
              <w:t>Meals:</w:t>
            </w:r>
          </w:p>
        </w:tc>
        <w:tc>
          <w:tcPr>
            <w:tcW w:w="399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Maximum $40 (metro)</w:t>
            </w:r>
          </w:p>
        </w:tc>
        <w:tc>
          <w:tcPr>
            <w:tcW w:w="356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$31 (rural)</w:t>
            </w:r>
          </w:p>
        </w:tc>
      </w:tr>
      <w:tr w:rsidR="00AC21A1" w:rsidRPr="000806EB" w:rsidTr="00E60FDE">
        <w:tc>
          <w:tcPr>
            <w:tcW w:w="2448" w:type="dxa"/>
            <w:shd w:val="clear" w:color="auto" w:fill="auto"/>
          </w:tcPr>
          <w:p w:rsidR="00AC21A1" w:rsidRPr="000806EB" w:rsidRDefault="00AC21A1" w:rsidP="00AC21A1">
            <w:pPr>
              <w:pStyle w:val="DHHStablecolhead"/>
            </w:pPr>
            <w:r w:rsidRPr="000806EB">
              <w:t>Breakfast:</w:t>
            </w:r>
          </w:p>
        </w:tc>
        <w:tc>
          <w:tcPr>
            <w:tcW w:w="399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Maximum $16 (metro)</w:t>
            </w:r>
          </w:p>
        </w:tc>
        <w:tc>
          <w:tcPr>
            <w:tcW w:w="356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$11 (rural)</w:t>
            </w:r>
          </w:p>
        </w:tc>
      </w:tr>
      <w:tr w:rsidR="00AC21A1" w:rsidRPr="000806EB" w:rsidTr="00E60FDE">
        <w:tc>
          <w:tcPr>
            <w:tcW w:w="10008" w:type="dxa"/>
            <w:gridSpan w:val="3"/>
            <w:shd w:val="clear" w:color="auto" w:fill="auto"/>
          </w:tcPr>
          <w:p w:rsidR="00AC21A1" w:rsidRPr="000806EB" w:rsidRDefault="00AC21A1" w:rsidP="00AC21A1">
            <w:pPr>
              <w:pStyle w:val="DHHStablecolhead"/>
              <w:rPr>
                <w:i/>
              </w:rPr>
            </w:pPr>
            <w:r w:rsidRPr="000806EB">
              <w:rPr>
                <w:i/>
                <w:sz w:val="16"/>
                <w:szCs w:val="16"/>
              </w:rPr>
              <w:t>*No reimbursements for expenditure on alcohol, mini bar, in-house movies or vehicle parking.</w:t>
            </w:r>
          </w:p>
        </w:tc>
      </w:tr>
      <w:tr w:rsidR="00AC21A1" w:rsidRPr="000806EB" w:rsidTr="00E60FDE">
        <w:tc>
          <w:tcPr>
            <w:tcW w:w="2448" w:type="dxa"/>
            <w:shd w:val="clear" w:color="auto" w:fill="auto"/>
          </w:tcPr>
          <w:p w:rsidR="00AC21A1" w:rsidRPr="000806EB" w:rsidRDefault="00AC21A1" w:rsidP="00AC21A1">
            <w:pPr>
              <w:pStyle w:val="DHHStablecolhead"/>
            </w:pPr>
          </w:p>
        </w:tc>
        <w:tc>
          <w:tcPr>
            <w:tcW w:w="399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</w:p>
        </w:tc>
        <w:tc>
          <w:tcPr>
            <w:tcW w:w="356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</w:p>
        </w:tc>
      </w:tr>
      <w:tr w:rsidR="00AC21A1" w:rsidRPr="000806EB" w:rsidTr="00E60FDE">
        <w:tc>
          <w:tcPr>
            <w:tcW w:w="2448" w:type="dxa"/>
            <w:shd w:val="clear" w:color="auto" w:fill="auto"/>
          </w:tcPr>
          <w:p w:rsidR="00AC21A1" w:rsidRPr="000806EB" w:rsidRDefault="00AC21A1" w:rsidP="00AC21A1">
            <w:pPr>
              <w:pStyle w:val="DHHStablecolhead"/>
            </w:pPr>
            <w:r w:rsidRPr="000806EB">
              <w:t>Travel:</w:t>
            </w:r>
          </w:p>
        </w:tc>
        <w:tc>
          <w:tcPr>
            <w:tcW w:w="399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Public Transport</w:t>
            </w:r>
          </w:p>
        </w:tc>
        <w:tc>
          <w:tcPr>
            <w:tcW w:w="3565" w:type="dxa"/>
            <w:shd w:val="clear" w:color="auto" w:fill="auto"/>
          </w:tcPr>
          <w:p w:rsidR="00AC21A1" w:rsidRPr="000806EB" w:rsidRDefault="00AC21A1" w:rsidP="00AC21A1">
            <w:pPr>
              <w:pStyle w:val="DHHStabletext"/>
            </w:pPr>
            <w:r w:rsidRPr="000806EB">
              <w:t>Economy fare only</w:t>
            </w:r>
          </w:p>
        </w:tc>
      </w:tr>
    </w:tbl>
    <w:p w:rsidR="00AC21A1" w:rsidRDefault="00AC21A1" w:rsidP="00AC21A1">
      <w:pPr>
        <w:pStyle w:val="Heading3"/>
      </w:pPr>
      <w:r>
        <w:t>Application process</w:t>
      </w:r>
    </w:p>
    <w:p w:rsidR="00AC21A1" w:rsidRDefault="00AC21A1" w:rsidP="00AC21A1">
      <w:pPr>
        <w:pStyle w:val="Sectionbreakfirstpage"/>
      </w:pPr>
      <w:r>
        <w:t>After a training event is completed, please fill in the relevant Claim Forms and mail these with a Tax invoice and attached receipts to:</w:t>
      </w:r>
    </w:p>
    <w:p w:rsidR="00AC21A1" w:rsidRDefault="00AC21A1" w:rsidP="00AC21A1">
      <w:pPr>
        <w:pStyle w:val="DHHSbody"/>
      </w:pPr>
      <w:r>
        <w:t>Specialist Homelessness</w:t>
      </w:r>
      <w:r>
        <w:t xml:space="preserve"> Sector Training</w:t>
      </w:r>
      <w:r>
        <w:t xml:space="preserve"> Calendar</w:t>
      </w:r>
    </w:p>
    <w:p w:rsidR="00AC21A1" w:rsidRDefault="00AC21A1" w:rsidP="00AC21A1">
      <w:pPr>
        <w:pStyle w:val="DHHSbody"/>
      </w:pPr>
      <w:r>
        <w:t>Centre for Learning and Organisational Development</w:t>
      </w:r>
    </w:p>
    <w:p w:rsidR="00AC21A1" w:rsidRDefault="00AC21A1" w:rsidP="00AC21A1">
      <w:pPr>
        <w:pStyle w:val="DHHSbody"/>
      </w:pPr>
      <w:r>
        <w:t>People and Culture Branch</w:t>
      </w:r>
    </w:p>
    <w:p w:rsidR="00AC21A1" w:rsidRDefault="00AC21A1" w:rsidP="00AC21A1">
      <w:pPr>
        <w:pStyle w:val="DHHSbody"/>
      </w:pPr>
      <w:r>
        <w:t>Department of Human Services</w:t>
      </w:r>
    </w:p>
    <w:p w:rsidR="00AC21A1" w:rsidRDefault="00AC21A1" w:rsidP="00AC21A1">
      <w:pPr>
        <w:pStyle w:val="DHHSbody"/>
      </w:pPr>
      <w:r>
        <w:t xml:space="preserve">Level </w:t>
      </w:r>
      <w:r>
        <w:t>5</w:t>
      </w:r>
      <w:r>
        <w:t xml:space="preserve"> </w:t>
      </w:r>
      <w:r>
        <w:t>50 Lonsdale Street</w:t>
      </w:r>
    </w:p>
    <w:p w:rsidR="00AC21A1" w:rsidRDefault="00AC21A1" w:rsidP="00AC21A1">
      <w:pPr>
        <w:pStyle w:val="DHHSbody"/>
      </w:pPr>
      <w:r>
        <w:t>Melbourne   VIC   3000</w:t>
      </w:r>
    </w:p>
    <w:p w:rsidR="00AC21A1" w:rsidRDefault="00AC21A1" w:rsidP="00AC21A1">
      <w:pPr>
        <w:pStyle w:val="Heading3"/>
      </w:pPr>
      <w:r>
        <w:t>Claim forms</w:t>
      </w:r>
    </w:p>
    <w:p w:rsidR="00AC21A1" w:rsidRDefault="00AC21A1" w:rsidP="00AC21A1">
      <w:pPr>
        <w:pStyle w:val="Sectionbreakfirstpage"/>
      </w:pPr>
      <w:r>
        <w:t>Current Policy and Claim Forms can be obtained by emailing:</w:t>
      </w:r>
    </w:p>
    <w:p w:rsidR="00A62D44" w:rsidRPr="004C6EEE" w:rsidRDefault="00AC21A1" w:rsidP="00AC21A1">
      <w:pPr>
        <w:pStyle w:val="Sectionbreakfirstpage"/>
        <w:sectPr w:rsidR="00A62D44" w:rsidRPr="004C6EEE" w:rsidSect="00D33E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1418" w:left="851" w:header="510" w:footer="510" w:gutter="0"/>
          <w:cols w:space="708"/>
          <w:docGrid w:linePitch="360"/>
        </w:sectPr>
      </w:pPr>
      <w:r>
        <w:t>CentreforL&amp;D@dhhs.vic.gov.au</w:t>
      </w:r>
      <w:bookmarkStart w:id="0" w:name="_GoBack"/>
      <w:bookmarkEnd w:id="0"/>
    </w:p>
    <w:p w:rsidR="00B2752E" w:rsidRPr="00906490" w:rsidRDefault="00B2752E" w:rsidP="00FF6D9D">
      <w:pPr>
        <w:pStyle w:val="DHHSbody"/>
      </w:pPr>
    </w:p>
    <w:sectPr w:rsidR="00B2752E" w:rsidRPr="00906490" w:rsidSect="00060959">
      <w:headerReference w:type="default" r:id="rId15"/>
      <w:footerReference w:type="default" r:id="rId16"/>
      <w:type w:val="continuous"/>
      <w:pgSz w:w="11906" w:h="16838"/>
      <w:pgMar w:top="1418" w:right="851" w:bottom="1134" w:left="851" w:header="567" w:footer="51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A1" w:rsidRDefault="00AC21A1">
      <w:r>
        <w:separator/>
      </w:r>
    </w:p>
  </w:endnote>
  <w:endnote w:type="continuationSeparator" w:id="0">
    <w:p w:rsidR="00AC21A1" w:rsidRDefault="00AC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D9" w:rsidRDefault="00937BD9">
    <w:pPr>
      <w:pStyle w:val="Footer"/>
    </w:pPr>
  </w:p>
  <w:p w:rsidR="00986E6B" w:rsidRDefault="00986E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AC21A1" w:rsidP="00F65AA9">
    <w:pPr>
      <w:pStyle w:val="Footerfirstpage"/>
    </w:pPr>
    <w:r>
      <w:rPr>
        <w:lang w:val="en-AU" w:eastAsia="en-AU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675" cy="796925"/>
          <wp:effectExtent l="0" t="0" r="3175" b="3175"/>
          <wp:wrapNone/>
          <wp:docPr id="7" name="Picture 7" descr="Department of Health &amp; Human Services - State Government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partment of Health &amp; Human Services - State Government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0A4" w:rsidRDefault="009D70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32720B" w:rsidRDefault="009D70A4" w:rsidP="00C33388">
    <w:pPr>
      <w:pStyle w:val="Footerfirstpage"/>
    </w:pPr>
    <w:r w:rsidRPr="008F0962">
      <w:t>Department of Human Service</w:t>
    </w:r>
    <w:r>
      <w:t>s</w:t>
    </w:r>
    <w:r>
      <w:tab/>
    </w:r>
    <w:r w:rsidR="00AC21A1">
      <w:rPr>
        <w:lang w:val="en-AU" w:eastAsia="en-AU"/>
      </w:rPr>
      <w:drawing>
        <wp:inline distT="0" distB="0" distL="0" distR="0">
          <wp:extent cx="914400" cy="525780"/>
          <wp:effectExtent l="0" t="0" r="0" b="7620"/>
          <wp:docPr id="24" name="Picture 24" descr="Victorian Government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ictorian Government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0A4" w:rsidRDefault="009D70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A11421">
    <w:pPr>
      <w:pStyle w:val="Footer"/>
    </w:pPr>
    <w:r w:rsidRPr="00A11421">
      <w:t>Name of 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AC21A1">
      <w:rPr>
        <w:noProof/>
      </w:rPr>
      <w:t>1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A1" w:rsidRDefault="00AC21A1" w:rsidP="002862F1">
      <w:pPr>
        <w:spacing w:before="120"/>
      </w:pPr>
      <w:r>
        <w:separator/>
      </w:r>
    </w:p>
  </w:footnote>
  <w:footnote w:type="continuationSeparator" w:id="0">
    <w:p w:rsidR="00AC21A1" w:rsidRDefault="00AC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D9" w:rsidRDefault="00937BD9">
    <w:pPr>
      <w:pStyle w:val="Header"/>
    </w:pPr>
  </w:p>
  <w:p w:rsidR="00986E6B" w:rsidRDefault="00986E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D9" w:rsidRDefault="00937BD9">
    <w:pPr>
      <w:pStyle w:val="Header"/>
    </w:pPr>
  </w:p>
  <w:p w:rsidR="00986E6B" w:rsidRDefault="00986E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D9" w:rsidRDefault="00937BD9">
    <w:pPr>
      <w:pStyle w:val="Header"/>
    </w:pPr>
  </w:p>
  <w:p w:rsidR="00986E6B" w:rsidRDefault="00986E6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Default="009D7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56F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ED2A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FB0C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ACA1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F2E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00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406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A7C2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827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8C0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2428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543EF1"/>
    <w:multiLevelType w:val="multilevel"/>
    <w:tmpl w:val="170696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07594"/>
    <w:multiLevelType w:val="hybridMultilevel"/>
    <w:tmpl w:val="9222949E"/>
    <w:lvl w:ilvl="0" w:tplc="A9745EEC">
      <w:start w:val="1"/>
      <w:numFmt w:val="bullet"/>
      <w:lvlText w:val="–"/>
      <w:lvlJc w:val="left"/>
      <w:pPr>
        <w:ind w:left="284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941BB"/>
    <w:multiLevelType w:val="multilevel"/>
    <w:tmpl w:val="170696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0287"/>
    <w:multiLevelType w:val="hybridMultilevel"/>
    <w:tmpl w:val="9D624718"/>
    <w:lvl w:ilvl="0" w:tplc="F856B3CE">
      <w:start w:val="1"/>
      <w:numFmt w:val="bullet"/>
      <w:pStyle w:val="EndnoteReferenc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86C39"/>
    <w:multiLevelType w:val="multilevel"/>
    <w:tmpl w:val="13285B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70CCF"/>
    <w:multiLevelType w:val="hybridMultilevel"/>
    <w:tmpl w:val="1FBE3CE4"/>
    <w:lvl w:ilvl="0" w:tplc="86E81CB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157FA"/>
    <w:multiLevelType w:val="multilevel"/>
    <w:tmpl w:val="971A6432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652FA"/>
    <w:multiLevelType w:val="multilevel"/>
    <w:tmpl w:val="577C881E"/>
    <w:numStyleLink w:val="Numbers"/>
  </w:abstractNum>
  <w:abstractNum w:abstractNumId="19">
    <w:nsid w:val="3B0D316C"/>
    <w:multiLevelType w:val="hybridMultilevel"/>
    <w:tmpl w:val="508C7D92"/>
    <w:lvl w:ilvl="0" w:tplc="B94068B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4F55"/>
    <w:multiLevelType w:val="multilevel"/>
    <w:tmpl w:val="577C881E"/>
    <w:numStyleLink w:val="Numbers"/>
  </w:abstractNum>
  <w:abstractNum w:abstractNumId="21">
    <w:nsid w:val="3E0B696C"/>
    <w:multiLevelType w:val="multilevel"/>
    <w:tmpl w:val="DF5C4BC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D7D"/>
    <w:multiLevelType w:val="hybridMultilevel"/>
    <w:tmpl w:val="E5FED512"/>
    <w:lvl w:ilvl="0" w:tplc="6CEAE4A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D7C48"/>
    <w:multiLevelType w:val="multilevel"/>
    <w:tmpl w:val="8E6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4215FA"/>
    <w:multiLevelType w:val="hybridMultilevel"/>
    <w:tmpl w:val="F6501466"/>
    <w:lvl w:ilvl="0" w:tplc="B226E274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31838"/>
    <w:multiLevelType w:val="multilevel"/>
    <w:tmpl w:val="A196A2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Restart w:val="1"/>
      <w:lvlText w:val="%3.%2.1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3">
      <w:start w:val="1"/>
      <w:numFmt w:val="none"/>
      <w:lvlRestart w:val="1"/>
      <w:lvlText w:val="1.1.1.1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none"/>
      <w:lvlRestart w:val="1"/>
      <w:lvlText w:val="1.1.1.1.1"/>
      <w:lvlJc w:val="left"/>
      <w:pPr>
        <w:tabs>
          <w:tab w:val="num" w:pos="7088"/>
        </w:tabs>
        <w:ind w:left="7088" w:hanging="255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</w:abstractNum>
  <w:abstractNum w:abstractNumId="28">
    <w:nsid w:val="5A4D150E"/>
    <w:multiLevelType w:val="multilevel"/>
    <w:tmpl w:val="A1DAC29E"/>
    <w:lvl w:ilvl="0">
      <w:start w:val="1"/>
      <w:numFmt w:val="bullet"/>
      <w:lvlText w:val="–"/>
      <w:lvlJc w:val="left"/>
      <w:pPr>
        <w:ind w:left="284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90F92"/>
    <w:multiLevelType w:val="hybridMultilevel"/>
    <w:tmpl w:val="C8F28CEA"/>
    <w:lvl w:ilvl="0" w:tplc="158ABA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267B5"/>
    <w:multiLevelType w:val="hybridMultilevel"/>
    <w:tmpl w:val="BFB6384A"/>
    <w:lvl w:ilvl="0" w:tplc="040A67C6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4"/>
  </w:num>
  <w:num w:numId="17">
    <w:abstractNumId w:val="19"/>
  </w:num>
  <w:num w:numId="18">
    <w:abstractNumId w:val="12"/>
  </w:num>
  <w:num w:numId="19">
    <w:abstractNumId w:val="16"/>
  </w:num>
  <w:num w:numId="20">
    <w:abstractNumId w:val="29"/>
  </w:num>
  <w:num w:numId="21">
    <w:abstractNumId w:val="28"/>
  </w:num>
  <w:num w:numId="22">
    <w:abstractNumId w:val="30"/>
  </w:num>
  <w:num w:numId="23">
    <w:abstractNumId w:val="29"/>
  </w:num>
  <w:num w:numId="24">
    <w:abstractNumId w:val="11"/>
  </w:num>
  <w:num w:numId="25">
    <w:abstractNumId w:val="13"/>
  </w:num>
  <w:num w:numId="26">
    <w:abstractNumId w:val="24"/>
  </w:num>
  <w:num w:numId="27">
    <w:abstractNumId w:val="17"/>
  </w:num>
  <w:num w:numId="28">
    <w:abstractNumId w:val="24"/>
    <w:lvlOverride w:ilvl="0">
      <w:startOverride w:val="1"/>
    </w:lvlOverride>
  </w:num>
  <w:num w:numId="29">
    <w:abstractNumId w:val="21"/>
  </w:num>
  <w:num w:numId="30">
    <w:abstractNumId w:val="25"/>
  </w:num>
  <w:num w:numId="31">
    <w:abstractNumId w:val="15"/>
  </w:num>
  <w:num w:numId="32">
    <w:abstractNumId w:val="31"/>
  </w:num>
  <w:num w:numId="33">
    <w:abstractNumId w:val="18"/>
  </w:num>
  <w:num w:numId="34">
    <w:abstractNumId w:val="25"/>
  </w:num>
  <w:num w:numId="35">
    <w:abstractNumId w:val="25"/>
  </w:num>
  <w:num w:numId="36">
    <w:abstractNumId w:val="25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25"/>
  </w:num>
  <w:num w:numId="44">
    <w:abstractNumId w:val="31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A1"/>
    <w:rsid w:val="000072B6"/>
    <w:rsid w:val="0001021B"/>
    <w:rsid w:val="00011D89"/>
    <w:rsid w:val="00024D89"/>
    <w:rsid w:val="00033D81"/>
    <w:rsid w:val="00041BF0"/>
    <w:rsid w:val="0004536B"/>
    <w:rsid w:val="00046B68"/>
    <w:rsid w:val="000527DD"/>
    <w:rsid w:val="000578B2"/>
    <w:rsid w:val="00060959"/>
    <w:rsid w:val="00074219"/>
    <w:rsid w:val="00074ED5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FE3"/>
    <w:rsid w:val="00120BD3"/>
    <w:rsid w:val="00122FEA"/>
    <w:rsid w:val="001232BD"/>
    <w:rsid w:val="00124ED5"/>
    <w:rsid w:val="001447B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6E46"/>
    <w:rsid w:val="001F7C91"/>
    <w:rsid w:val="00206463"/>
    <w:rsid w:val="00206F2F"/>
    <w:rsid w:val="0021053D"/>
    <w:rsid w:val="00210A92"/>
    <w:rsid w:val="00216C03"/>
    <w:rsid w:val="00220C04"/>
    <w:rsid w:val="0022701F"/>
    <w:rsid w:val="002333F5"/>
    <w:rsid w:val="00246C5E"/>
    <w:rsid w:val="00251343"/>
    <w:rsid w:val="002620BC"/>
    <w:rsid w:val="00263A90"/>
    <w:rsid w:val="0026408B"/>
    <w:rsid w:val="00267C3E"/>
    <w:rsid w:val="002709BB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E01D0"/>
    <w:rsid w:val="002E161D"/>
    <w:rsid w:val="002E6C95"/>
    <w:rsid w:val="002E7C36"/>
    <w:rsid w:val="002F5F31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3E8F"/>
    <w:rsid w:val="003D6475"/>
    <w:rsid w:val="003F0445"/>
    <w:rsid w:val="003F0CF0"/>
    <w:rsid w:val="003F3289"/>
    <w:rsid w:val="00401FCF"/>
    <w:rsid w:val="004148F9"/>
    <w:rsid w:val="0042084E"/>
    <w:rsid w:val="00421EEF"/>
    <w:rsid w:val="00424D65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46F4"/>
    <w:rsid w:val="0049487E"/>
    <w:rsid w:val="004A3E81"/>
    <w:rsid w:val="004A5C62"/>
    <w:rsid w:val="004A707D"/>
    <w:rsid w:val="004C6EEE"/>
    <w:rsid w:val="004C702B"/>
    <w:rsid w:val="004D016B"/>
    <w:rsid w:val="004D1B22"/>
    <w:rsid w:val="004D36F2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36499"/>
    <w:rsid w:val="00543903"/>
    <w:rsid w:val="00547A95"/>
    <w:rsid w:val="00572031"/>
    <w:rsid w:val="00576E84"/>
    <w:rsid w:val="0058757E"/>
    <w:rsid w:val="00596A4B"/>
    <w:rsid w:val="00597507"/>
    <w:rsid w:val="005B21B6"/>
    <w:rsid w:val="005B7A63"/>
    <w:rsid w:val="005C49DA"/>
    <w:rsid w:val="005C50F3"/>
    <w:rsid w:val="005C5D91"/>
    <w:rsid w:val="005D07B8"/>
    <w:rsid w:val="005D6597"/>
    <w:rsid w:val="005E14E7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6A68"/>
    <w:rsid w:val="0065092E"/>
    <w:rsid w:val="006557A7"/>
    <w:rsid w:val="00656290"/>
    <w:rsid w:val="006621D7"/>
    <w:rsid w:val="0066302A"/>
    <w:rsid w:val="0066647B"/>
    <w:rsid w:val="00670597"/>
    <w:rsid w:val="00677574"/>
    <w:rsid w:val="0068454C"/>
    <w:rsid w:val="00691B62"/>
    <w:rsid w:val="006A18C2"/>
    <w:rsid w:val="006B077C"/>
    <w:rsid w:val="006D2A3F"/>
    <w:rsid w:val="006E138B"/>
    <w:rsid w:val="006F1FDC"/>
    <w:rsid w:val="007013EF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4E36"/>
    <w:rsid w:val="00763139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155F0"/>
    <w:rsid w:val="00816735"/>
    <w:rsid w:val="00820141"/>
    <w:rsid w:val="00820E0C"/>
    <w:rsid w:val="00853EE4"/>
    <w:rsid w:val="00855535"/>
    <w:rsid w:val="008633F0"/>
    <w:rsid w:val="00867D9D"/>
    <w:rsid w:val="00872E0A"/>
    <w:rsid w:val="00875285"/>
    <w:rsid w:val="00884B62"/>
    <w:rsid w:val="0088529C"/>
    <w:rsid w:val="0089270A"/>
    <w:rsid w:val="00893AF6"/>
    <w:rsid w:val="00894BC4"/>
    <w:rsid w:val="008B2EE4"/>
    <w:rsid w:val="008B4D3D"/>
    <w:rsid w:val="008B57C7"/>
    <w:rsid w:val="008C2F92"/>
    <w:rsid w:val="008D4236"/>
    <w:rsid w:val="008D462F"/>
    <w:rsid w:val="008E4376"/>
    <w:rsid w:val="00900719"/>
    <w:rsid w:val="00906490"/>
    <w:rsid w:val="009111B2"/>
    <w:rsid w:val="00923309"/>
    <w:rsid w:val="00924AE1"/>
    <w:rsid w:val="009269B1"/>
    <w:rsid w:val="00937BD9"/>
    <w:rsid w:val="00950E2C"/>
    <w:rsid w:val="00951D50"/>
    <w:rsid w:val="009525EB"/>
    <w:rsid w:val="00961400"/>
    <w:rsid w:val="00963646"/>
    <w:rsid w:val="0096469A"/>
    <w:rsid w:val="009853E1"/>
    <w:rsid w:val="00986E6B"/>
    <w:rsid w:val="00991769"/>
    <w:rsid w:val="00994386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3FB8"/>
    <w:rsid w:val="00A44882"/>
    <w:rsid w:val="00A54715"/>
    <w:rsid w:val="00A6061C"/>
    <w:rsid w:val="00A62D44"/>
    <w:rsid w:val="00A7161C"/>
    <w:rsid w:val="00A77AA3"/>
    <w:rsid w:val="00A872E5"/>
    <w:rsid w:val="00A96E65"/>
    <w:rsid w:val="00A97C72"/>
    <w:rsid w:val="00AA63D4"/>
    <w:rsid w:val="00AB06E8"/>
    <w:rsid w:val="00AB1CD3"/>
    <w:rsid w:val="00AB352F"/>
    <w:rsid w:val="00AC21A1"/>
    <w:rsid w:val="00AC274B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6571"/>
    <w:rsid w:val="00B068BA"/>
    <w:rsid w:val="00B13851"/>
    <w:rsid w:val="00B13B1C"/>
    <w:rsid w:val="00B22291"/>
    <w:rsid w:val="00B2417B"/>
    <w:rsid w:val="00B24E6F"/>
    <w:rsid w:val="00B26CB5"/>
    <w:rsid w:val="00B2752E"/>
    <w:rsid w:val="00B307CC"/>
    <w:rsid w:val="00B45141"/>
    <w:rsid w:val="00B5273A"/>
    <w:rsid w:val="00B62B50"/>
    <w:rsid w:val="00B635B7"/>
    <w:rsid w:val="00B65950"/>
    <w:rsid w:val="00B672C0"/>
    <w:rsid w:val="00B75646"/>
    <w:rsid w:val="00B90729"/>
    <w:rsid w:val="00B907DA"/>
    <w:rsid w:val="00B950BC"/>
    <w:rsid w:val="00B9714C"/>
    <w:rsid w:val="00BB7A10"/>
    <w:rsid w:val="00BC7D4F"/>
    <w:rsid w:val="00BC7ED7"/>
    <w:rsid w:val="00BD2850"/>
    <w:rsid w:val="00BE28D2"/>
    <w:rsid w:val="00BF7F58"/>
    <w:rsid w:val="00C01381"/>
    <w:rsid w:val="00C079B8"/>
    <w:rsid w:val="00C123EA"/>
    <w:rsid w:val="00C12A49"/>
    <w:rsid w:val="00C133EE"/>
    <w:rsid w:val="00C27DE9"/>
    <w:rsid w:val="00C3338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74DE8"/>
    <w:rsid w:val="00C863C4"/>
    <w:rsid w:val="00C93C3E"/>
    <w:rsid w:val="00CA12E3"/>
    <w:rsid w:val="00CA6611"/>
    <w:rsid w:val="00CC2BFD"/>
    <w:rsid w:val="00CD3476"/>
    <w:rsid w:val="00CD64DF"/>
    <w:rsid w:val="00CF2F50"/>
    <w:rsid w:val="00D02919"/>
    <w:rsid w:val="00D04C61"/>
    <w:rsid w:val="00D05B8D"/>
    <w:rsid w:val="00D07F00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E170DC"/>
    <w:rsid w:val="00E26818"/>
    <w:rsid w:val="00E27FFC"/>
    <w:rsid w:val="00E30B15"/>
    <w:rsid w:val="00E40181"/>
    <w:rsid w:val="00E629A1"/>
    <w:rsid w:val="00E82C55"/>
    <w:rsid w:val="00E92AC3"/>
    <w:rsid w:val="00EB00E0"/>
    <w:rsid w:val="00EC059F"/>
    <w:rsid w:val="00EC1F24"/>
    <w:rsid w:val="00ED5B9B"/>
    <w:rsid w:val="00ED6BAD"/>
    <w:rsid w:val="00ED7447"/>
    <w:rsid w:val="00EE1488"/>
    <w:rsid w:val="00EE4D5D"/>
    <w:rsid w:val="00EF109B"/>
    <w:rsid w:val="00EF36AF"/>
    <w:rsid w:val="00F00F9C"/>
    <w:rsid w:val="00F02ABA"/>
    <w:rsid w:val="00F0437A"/>
    <w:rsid w:val="00F11037"/>
    <w:rsid w:val="00F250A9"/>
    <w:rsid w:val="00F30FF4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64696"/>
    <w:rsid w:val="00F65AA9"/>
    <w:rsid w:val="00F6768F"/>
    <w:rsid w:val="00F72C2C"/>
    <w:rsid w:val="00F76CAB"/>
    <w:rsid w:val="00F772C6"/>
    <w:rsid w:val="00F85195"/>
    <w:rsid w:val="00F938BA"/>
    <w:rsid w:val="00FA2C46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4148F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66647B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498080"/>
      <w:kern w:val="32"/>
      <w:sz w:val="40"/>
      <w:szCs w:val="32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421EEF"/>
    <w:pPr>
      <w:keepNext/>
      <w:keepLines/>
      <w:spacing w:before="280" w:after="120" w:line="320" w:lineRule="atLeast"/>
      <w:outlineLvl w:val="1"/>
    </w:pPr>
    <w:rPr>
      <w:rFonts w:ascii="Arial" w:eastAsia="MS Gothic" w:hAnsi="Arial"/>
      <w:b/>
      <w:bCs/>
      <w:iCs/>
      <w:color w:val="49808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47372D"/>
    <w:pPr>
      <w:keepNext/>
      <w:keepLines/>
      <w:spacing w:before="240" w:after="80" w:line="280" w:lineRule="atLeast"/>
      <w:outlineLvl w:val="2"/>
    </w:pPr>
    <w:rPr>
      <w:rFonts w:ascii="Arial" w:eastAsia="MS Gothic" w:hAnsi="Arial"/>
      <w:b/>
      <w:bCs/>
      <w:sz w:val="24"/>
      <w:szCs w:val="24"/>
      <w:lang w:eastAsia="en-US"/>
    </w:rPr>
  </w:style>
  <w:style w:type="paragraph" w:styleId="Heading4">
    <w:name w:val="heading 4"/>
    <w:next w:val="Normal"/>
    <w:link w:val="Heading4Char"/>
    <w:uiPriority w:val="1"/>
    <w:qFormat/>
    <w:rsid w:val="00DA2619"/>
    <w:pPr>
      <w:keepNext/>
      <w:keepLines/>
      <w:spacing w:before="160" w:after="60" w:line="240" w:lineRule="atLeast"/>
      <w:outlineLvl w:val="3"/>
    </w:pPr>
    <w:rPr>
      <w:rFonts w:ascii="Arial" w:eastAsia="MS Mincho" w:hAnsi="Aria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1A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6647B"/>
    <w:rPr>
      <w:rFonts w:ascii="Arial" w:eastAsia="MS Gothic" w:hAnsi="Arial" w:cs="Arial"/>
      <w:bCs/>
      <w:color w:val="498080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421EEF"/>
    <w:rPr>
      <w:rFonts w:ascii="Arial" w:eastAsia="MS Gothic" w:hAnsi="Arial"/>
      <w:b/>
      <w:bCs/>
      <w:iCs/>
      <w:color w:val="49808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7372D"/>
    <w:rPr>
      <w:rFonts w:ascii="Arial" w:eastAsia="MS Gothic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1"/>
    <w:semiHidden/>
    <w:rsid w:val="000A0EB9"/>
    <w:rPr>
      <w:rFonts w:ascii="Arial" w:eastAsia="MS Mincho" w:hAnsi="Arial"/>
      <w:b/>
      <w:bCs/>
      <w:szCs w:val="28"/>
      <w:lang w:eastAsia="en-US"/>
    </w:rPr>
  </w:style>
  <w:style w:type="paragraph" w:styleId="Header">
    <w:name w:val="header"/>
    <w:basedOn w:val="Normal"/>
    <w:uiPriority w:val="10"/>
    <w:rsid w:val="002962C3"/>
    <w:pPr>
      <w:tabs>
        <w:tab w:val="center" w:pos="4153"/>
        <w:tab w:val="right" w:pos="8306"/>
      </w:tabs>
    </w:pPr>
    <w:rPr>
      <w:rFonts w:ascii="Arial" w:hAnsi="Arial" w:cs="Arial"/>
      <w:sz w:val="18"/>
    </w:rPr>
  </w:style>
  <w:style w:type="paragraph" w:styleId="Footer">
    <w:name w:val="footer"/>
    <w:basedOn w:val="Normal"/>
    <w:uiPriority w:val="8"/>
    <w:rsid w:val="00C27DE9"/>
    <w:pPr>
      <w:tabs>
        <w:tab w:val="right" w:pos="10206"/>
      </w:tabs>
    </w:pPr>
    <w:rPr>
      <w:rFonts w:ascii="Arial" w:hAnsi="Arial"/>
      <w:sz w:val="18"/>
      <w:szCs w:val="18"/>
    </w:rPr>
  </w:style>
  <w:style w:type="character" w:styleId="FollowedHyperlink">
    <w:name w:val="FollowedHyperlink"/>
    <w:uiPriority w:val="99"/>
    <w:rsid w:val="00B2752E"/>
    <w:rPr>
      <w:color w:val="9933CC"/>
      <w:u w:val="dotte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1A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FD3766"/>
    <w:pPr>
      <w:numPr>
        <w:numId w:val="4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customStyle="1" w:styleId="Footerfirstpage">
    <w:name w:val="Footer first page"/>
    <w:basedOn w:val="Footer"/>
    <w:uiPriority w:val="8"/>
    <w:rsid w:val="00F65AA9"/>
    <w:pPr>
      <w:tabs>
        <w:tab w:val="right" w:pos="9923"/>
      </w:tabs>
      <w:spacing w:line="240" w:lineRule="atLeast"/>
    </w:pPr>
    <w:rPr>
      <w:noProof/>
      <w:sz w:val="20"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421EEF"/>
    <w:pPr>
      <w:spacing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421EEF"/>
    <w:rPr>
      <w:rFonts w:ascii="Arial" w:eastAsia="MS Gothic" w:hAnsi="Arial"/>
      <w:b/>
      <w:bCs/>
      <w:iCs/>
      <w:color w:val="498080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uiPriority w:val="3"/>
    <w:qFormat/>
    <w:rsid w:val="009C7A7E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footnote">
    <w:name w:val="DHHS footnote"/>
    <w:link w:val="DHHSfootnoteChar"/>
    <w:uiPriority w:val="4"/>
    <w:rsid w:val="001D44E8"/>
    <w:pPr>
      <w:spacing w:before="60" w:after="60" w:line="200" w:lineRule="atLeast"/>
    </w:pPr>
    <w:rPr>
      <w:rFonts w:ascii="Arial" w:hAnsi="Arial"/>
      <w:sz w:val="16"/>
      <w:szCs w:val="16"/>
      <w:lang w:eastAsia="en-US"/>
    </w:rPr>
  </w:style>
  <w:style w:type="character" w:customStyle="1" w:styleId="DHHSfootnoteChar">
    <w:name w:val="DHHS footnote Char"/>
    <w:link w:val="DHHSfootnote"/>
    <w:uiPriority w:val="4"/>
    <w:rsid w:val="001D44E8"/>
    <w:rPr>
      <w:rFonts w:ascii="Arial" w:hAnsi="Arial"/>
      <w:sz w:val="16"/>
      <w:szCs w:val="16"/>
    </w:rPr>
  </w:style>
  <w:style w:type="paragraph" w:customStyle="1" w:styleId="DHHSbullet2">
    <w:name w:val="DHHS bullet 2"/>
    <w:basedOn w:val="DHHSbody"/>
    <w:uiPriority w:val="2"/>
    <w:qFormat/>
    <w:rsid w:val="00FD3766"/>
    <w:pPr>
      <w:numPr>
        <w:ilvl w:val="2"/>
        <w:numId w:val="43"/>
      </w:numPr>
      <w:spacing w:after="40"/>
    </w:pPr>
  </w:style>
  <w:style w:type="paragraph" w:customStyle="1" w:styleId="DHHSfigurecaption">
    <w:name w:val="DHHS figure caption"/>
    <w:next w:val="DHHSbody"/>
    <w:link w:val="DHHSfigurecaptionChar"/>
    <w:uiPriority w:val="4"/>
    <w:rsid w:val="009C7A7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670597"/>
    <w:rPr>
      <w:rFonts w:ascii="Arial" w:hAnsi="Arial"/>
      <w:b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FD3766"/>
    <w:pPr>
      <w:numPr>
        <w:ilvl w:val="6"/>
        <w:numId w:val="43"/>
      </w:numPr>
    </w:pPr>
  </w:style>
  <w:style w:type="paragraph" w:customStyle="1" w:styleId="DHHSaccessibilitypara">
    <w:name w:val="DHHS accessibility para"/>
    <w:basedOn w:val="Normal"/>
    <w:link w:val="DHHSaccessibilityparaChar"/>
    <w:uiPriority w:val="6"/>
    <w:rsid w:val="000C42EA"/>
    <w:pPr>
      <w:spacing w:after="120" w:line="300" w:lineRule="exact"/>
    </w:pPr>
    <w:rPr>
      <w:rFonts w:ascii="Arial" w:hAnsi="Arial"/>
      <w:sz w:val="24"/>
      <w:szCs w:val="24"/>
    </w:rPr>
  </w:style>
  <w:style w:type="character" w:customStyle="1" w:styleId="DHHSaccessibilityparaChar">
    <w:name w:val="DHHS accessibility para Char"/>
    <w:link w:val="DHHSaccessibilitypara"/>
    <w:uiPriority w:val="6"/>
    <w:rsid w:val="00670597"/>
    <w:rPr>
      <w:rFonts w:ascii="Arial" w:hAnsi="Arial"/>
      <w:sz w:val="24"/>
      <w:szCs w:val="24"/>
      <w:lang w:eastAsia="en-US"/>
    </w:rPr>
  </w:style>
  <w:style w:type="paragraph" w:customStyle="1" w:styleId="DHHStablecolhead">
    <w:name w:val="DHHS table col head"/>
    <w:uiPriority w:val="3"/>
    <w:qFormat/>
    <w:rsid w:val="00421EEF"/>
    <w:pPr>
      <w:spacing w:before="80" w:after="60"/>
    </w:pPr>
    <w:rPr>
      <w:rFonts w:ascii="Arial" w:hAnsi="Arial"/>
      <w:b/>
      <w:color w:val="498080"/>
      <w:lang w:eastAsia="en-US"/>
    </w:rPr>
  </w:style>
  <w:style w:type="paragraph" w:customStyle="1" w:styleId="DHHSbulletindent">
    <w:name w:val="DHHS bullet indent"/>
    <w:basedOn w:val="DHHSbody"/>
    <w:rsid w:val="00596A4B"/>
    <w:pPr>
      <w:numPr>
        <w:ilvl w:val="4"/>
        <w:numId w:val="43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FD376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rsid w:val="00FD3766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F044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Cambria" w:hAnsi="Cambria"/>
      <w:sz w:val="24"/>
      <w:szCs w:val="24"/>
    </w:rPr>
  </w:style>
  <w:style w:type="paragraph" w:customStyle="1" w:styleId="Healthbody">
    <w:name w:val="Health body"/>
    <w:semiHidden/>
    <w:rsid w:val="007B0914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Bullets">
    <w:name w:val="Bullets"/>
    <w:rsid w:val="00596A4B"/>
    <w:pPr>
      <w:numPr>
        <w:numId w:val="43"/>
      </w:numPr>
    </w:pPr>
  </w:style>
  <w:style w:type="numbering" w:customStyle="1" w:styleId="Numbers">
    <w:name w:val="Numbers"/>
    <w:rsid w:val="00596A4B"/>
    <w:pPr>
      <w:numPr>
        <w:numId w:val="44"/>
      </w:numPr>
    </w:pPr>
  </w:style>
  <w:style w:type="paragraph" w:customStyle="1" w:styleId="DHHSbulletindentlastline">
    <w:name w:val="DHHS bullet indent last line"/>
    <w:basedOn w:val="DHHSbody"/>
    <w:rsid w:val="00596A4B"/>
    <w:pPr>
      <w:numPr>
        <w:ilvl w:val="5"/>
        <w:numId w:val="43"/>
      </w:numPr>
    </w:pPr>
  </w:style>
  <w:style w:type="paragraph" w:customStyle="1" w:styleId="DHHSnumberdigit">
    <w:name w:val="DHHS number digit"/>
    <w:basedOn w:val="DHHSbody"/>
    <w:uiPriority w:val="4"/>
    <w:rsid w:val="00596A4B"/>
    <w:pPr>
      <w:numPr>
        <w:numId w:val="44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596A4B"/>
    <w:pPr>
      <w:numPr>
        <w:ilvl w:val="3"/>
        <w:numId w:val="44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596A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596A4B"/>
    <w:pPr>
      <w:numPr>
        <w:ilvl w:val="2"/>
        <w:numId w:val="44"/>
      </w:numPr>
    </w:pPr>
  </w:style>
  <w:style w:type="paragraph" w:customStyle="1" w:styleId="DHHSnumberlowerroman">
    <w:name w:val="DHHS number lower roman"/>
    <w:basedOn w:val="DHHSbody"/>
    <w:uiPriority w:val="4"/>
    <w:qFormat/>
    <w:rsid w:val="00596A4B"/>
    <w:pPr>
      <w:numPr>
        <w:ilvl w:val="4"/>
        <w:numId w:val="44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596A4B"/>
    <w:pPr>
      <w:numPr>
        <w:ilvl w:val="5"/>
        <w:numId w:val="44"/>
      </w:numPr>
    </w:pPr>
  </w:style>
  <w:style w:type="paragraph" w:customStyle="1" w:styleId="DHHSquote">
    <w:name w:val="DHHS quote"/>
    <w:basedOn w:val="DHHSbody"/>
    <w:uiPriority w:val="3"/>
    <w:qFormat/>
    <w:rsid w:val="00596A4B"/>
    <w:pPr>
      <w:ind w:left="397"/>
    </w:pPr>
    <w:rPr>
      <w:szCs w:val="18"/>
      <w:lang w:val="fr-FR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1"/>
    <w:rsid w:val="00951D50"/>
    <w:pPr>
      <w:spacing w:before="240" w:after="120" w:line="270" w:lineRule="atLeast"/>
    </w:pPr>
    <w:rPr>
      <w:rFonts w:ascii="Arial" w:eastAsia="Times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4148F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66647B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498080"/>
      <w:kern w:val="32"/>
      <w:sz w:val="40"/>
      <w:szCs w:val="32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421EEF"/>
    <w:pPr>
      <w:keepNext/>
      <w:keepLines/>
      <w:spacing w:before="280" w:after="120" w:line="320" w:lineRule="atLeast"/>
      <w:outlineLvl w:val="1"/>
    </w:pPr>
    <w:rPr>
      <w:rFonts w:ascii="Arial" w:eastAsia="MS Gothic" w:hAnsi="Arial"/>
      <w:b/>
      <w:bCs/>
      <w:iCs/>
      <w:color w:val="49808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47372D"/>
    <w:pPr>
      <w:keepNext/>
      <w:keepLines/>
      <w:spacing w:before="240" w:after="80" w:line="280" w:lineRule="atLeast"/>
      <w:outlineLvl w:val="2"/>
    </w:pPr>
    <w:rPr>
      <w:rFonts w:ascii="Arial" w:eastAsia="MS Gothic" w:hAnsi="Arial"/>
      <w:b/>
      <w:bCs/>
      <w:sz w:val="24"/>
      <w:szCs w:val="24"/>
      <w:lang w:eastAsia="en-US"/>
    </w:rPr>
  </w:style>
  <w:style w:type="paragraph" w:styleId="Heading4">
    <w:name w:val="heading 4"/>
    <w:next w:val="Normal"/>
    <w:link w:val="Heading4Char"/>
    <w:uiPriority w:val="1"/>
    <w:qFormat/>
    <w:rsid w:val="00DA2619"/>
    <w:pPr>
      <w:keepNext/>
      <w:keepLines/>
      <w:spacing w:before="160" w:after="60" w:line="240" w:lineRule="atLeast"/>
      <w:outlineLvl w:val="3"/>
    </w:pPr>
    <w:rPr>
      <w:rFonts w:ascii="Arial" w:eastAsia="MS Mincho" w:hAnsi="Aria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1A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6647B"/>
    <w:rPr>
      <w:rFonts w:ascii="Arial" w:eastAsia="MS Gothic" w:hAnsi="Arial" w:cs="Arial"/>
      <w:bCs/>
      <w:color w:val="498080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421EEF"/>
    <w:rPr>
      <w:rFonts w:ascii="Arial" w:eastAsia="MS Gothic" w:hAnsi="Arial"/>
      <w:b/>
      <w:bCs/>
      <w:iCs/>
      <w:color w:val="49808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7372D"/>
    <w:rPr>
      <w:rFonts w:ascii="Arial" w:eastAsia="MS Gothic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1"/>
    <w:semiHidden/>
    <w:rsid w:val="000A0EB9"/>
    <w:rPr>
      <w:rFonts w:ascii="Arial" w:eastAsia="MS Mincho" w:hAnsi="Arial"/>
      <w:b/>
      <w:bCs/>
      <w:szCs w:val="28"/>
      <w:lang w:eastAsia="en-US"/>
    </w:rPr>
  </w:style>
  <w:style w:type="paragraph" w:styleId="Header">
    <w:name w:val="header"/>
    <w:basedOn w:val="Normal"/>
    <w:uiPriority w:val="10"/>
    <w:rsid w:val="002962C3"/>
    <w:pPr>
      <w:tabs>
        <w:tab w:val="center" w:pos="4153"/>
        <w:tab w:val="right" w:pos="8306"/>
      </w:tabs>
    </w:pPr>
    <w:rPr>
      <w:rFonts w:ascii="Arial" w:hAnsi="Arial" w:cs="Arial"/>
      <w:sz w:val="18"/>
    </w:rPr>
  </w:style>
  <w:style w:type="paragraph" w:styleId="Footer">
    <w:name w:val="footer"/>
    <w:basedOn w:val="Normal"/>
    <w:uiPriority w:val="8"/>
    <w:rsid w:val="00C27DE9"/>
    <w:pPr>
      <w:tabs>
        <w:tab w:val="right" w:pos="10206"/>
      </w:tabs>
    </w:pPr>
    <w:rPr>
      <w:rFonts w:ascii="Arial" w:hAnsi="Arial"/>
      <w:sz w:val="18"/>
      <w:szCs w:val="18"/>
    </w:rPr>
  </w:style>
  <w:style w:type="character" w:styleId="FollowedHyperlink">
    <w:name w:val="FollowedHyperlink"/>
    <w:uiPriority w:val="99"/>
    <w:rsid w:val="00B2752E"/>
    <w:rPr>
      <w:color w:val="9933CC"/>
      <w:u w:val="dotte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1A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FD3766"/>
    <w:pPr>
      <w:numPr>
        <w:numId w:val="4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customStyle="1" w:styleId="Footerfirstpage">
    <w:name w:val="Footer first page"/>
    <w:basedOn w:val="Footer"/>
    <w:uiPriority w:val="8"/>
    <w:rsid w:val="00F65AA9"/>
    <w:pPr>
      <w:tabs>
        <w:tab w:val="right" w:pos="9923"/>
      </w:tabs>
      <w:spacing w:line="240" w:lineRule="atLeast"/>
    </w:pPr>
    <w:rPr>
      <w:noProof/>
      <w:sz w:val="20"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421EEF"/>
    <w:pPr>
      <w:spacing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421EEF"/>
    <w:rPr>
      <w:rFonts w:ascii="Arial" w:eastAsia="MS Gothic" w:hAnsi="Arial"/>
      <w:b/>
      <w:bCs/>
      <w:iCs/>
      <w:color w:val="498080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uiPriority w:val="3"/>
    <w:qFormat/>
    <w:rsid w:val="009C7A7E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footnote">
    <w:name w:val="DHHS footnote"/>
    <w:link w:val="DHHSfootnoteChar"/>
    <w:uiPriority w:val="4"/>
    <w:rsid w:val="001D44E8"/>
    <w:pPr>
      <w:spacing w:before="60" w:after="60" w:line="200" w:lineRule="atLeast"/>
    </w:pPr>
    <w:rPr>
      <w:rFonts w:ascii="Arial" w:hAnsi="Arial"/>
      <w:sz w:val="16"/>
      <w:szCs w:val="16"/>
      <w:lang w:eastAsia="en-US"/>
    </w:rPr>
  </w:style>
  <w:style w:type="character" w:customStyle="1" w:styleId="DHHSfootnoteChar">
    <w:name w:val="DHHS footnote Char"/>
    <w:link w:val="DHHSfootnote"/>
    <w:uiPriority w:val="4"/>
    <w:rsid w:val="001D44E8"/>
    <w:rPr>
      <w:rFonts w:ascii="Arial" w:hAnsi="Arial"/>
      <w:sz w:val="16"/>
      <w:szCs w:val="16"/>
    </w:rPr>
  </w:style>
  <w:style w:type="paragraph" w:customStyle="1" w:styleId="DHHSbullet2">
    <w:name w:val="DHHS bullet 2"/>
    <w:basedOn w:val="DHHSbody"/>
    <w:uiPriority w:val="2"/>
    <w:qFormat/>
    <w:rsid w:val="00FD3766"/>
    <w:pPr>
      <w:numPr>
        <w:ilvl w:val="2"/>
        <w:numId w:val="43"/>
      </w:numPr>
      <w:spacing w:after="40"/>
    </w:pPr>
  </w:style>
  <w:style w:type="paragraph" w:customStyle="1" w:styleId="DHHSfigurecaption">
    <w:name w:val="DHHS figure caption"/>
    <w:next w:val="DHHSbody"/>
    <w:link w:val="DHHSfigurecaptionChar"/>
    <w:uiPriority w:val="4"/>
    <w:rsid w:val="009C7A7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670597"/>
    <w:rPr>
      <w:rFonts w:ascii="Arial" w:hAnsi="Arial"/>
      <w:b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FD3766"/>
    <w:pPr>
      <w:numPr>
        <w:ilvl w:val="6"/>
        <w:numId w:val="43"/>
      </w:numPr>
    </w:pPr>
  </w:style>
  <w:style w:type="paragraph" w:customStyle="1" w:styleId="DHHSaccessibilitypara">
    <w:name w:val="DHHS accessibility para"/>
    <w:basedOn w:val="Normal"/>
    <w:link w:val="DHHSaccessibilityparaChar"/>
    <w:uiPriority w:val="6"/>
    <w:rsid w:val="000C42EA"/>
    <w:pPr>
      <w:spacing w:after="120" w:line="300" w:lineRule="exact"/>
    </w:pPr>
    <w:rPr>
      <w:rFonts w:ascii="Arial" w:hAnsi="Arial"/>
      <w:sz w:val="24"/>
      <w:szCs w:val="24"/>
    </w:rPr>
  </w:style>
  <w:style w:type="character" w:customStyle="1" w:styleId="DHHSaccessibilityparaChar">
    <w:name w:val="DHHS accessibility para Char"/>
    <w:link w:val="DHHSaccessibilitypara"/>
    <w:uiPriority w:val="6"/>
    <w:rsid w:val="00670597"/>
    <w:rPr>
      <w:rFonts w:ascii="Arial" w:hAnsi="Arial"/>
      <w:sz w:val="24"/>
      <w:szCs w:val="24"/>
      <w:lang w:eastAsia="en-US"/>
    </w:rPr>
  </w:style>
  <w:style w:type="paragraph" w:customStyle="1" w:styleId="DHHStablecolhead">
    <w:name w:val="DHHS table col head"/>
    <w:uiPriority w:val="3"/>
    <w:qFormat/>
    <w:rsid w:val="00421EEF"/>
    <w:pPr>
      <w:spacing w:before="80" w:after="60"/>
    </w:pPr>
    <w:rPr>
      <w:rFonts w:ascii="Arial" w:hAnsi="Arial"/>
      <w:b/>
      <w:color w:val="498080"/>
      <w:lang w:eastAsia="en-US"/>
    </w:rPr>
  </w:style>
  <w:style w:type="paragraph" w:customStyle="1" w:styleId="DHHSbulletindent">
    <w:name w:val="DHHS bullet indent"/>
    <w:basedOn w:val="DHHSbody"/>
    <w:rsid w:val="00596A4B"/>
    <w:pPr>
      <w:numPr>
        <w:ilvl w:val="4"/>
        <w:numId w:val="43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FD376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rsid w:val="00FD3766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F044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Cambria" w:hAnsi="Cambria"/>
      <w:sz w:val="24"/>
      <w:szCs w:val="24"/>
    </w:rPr>
  </w:style>
  <w:style w:type="paragraph" w:customStyle="1" w:styleId="Healthbody">
    <w:name w:val="Health body"/>
    <w:semiHidden/>
    <w:rsid w:val="007B0914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Bullets">
    <w:name w:val="Bullets"/>
    <w:rsid w:val="00596A4B"/>
    <w:pPr>
      <w:numPr>
        <w:numId w:val="43"/>
      </w:numPr>
    </w:pPr>
  </w:style>
  <w:style w:type="numbering" w:customStyle="1" w:styleId="Numbers">
    <w:name w:val="Numbers"/>
    <w:rsid w:val="00596A4B"/>
    <w:pPr>
      <w:numPr>
        <w:numId w:val="44"/>
      </w:numPr>
    </w:pPr>
  </w:style>
  <w:style w:type="paragraph" w:customStyle="1" w:styleId="DHHSbulletindentlastline">
    <w:name w:val="DHHS bullet indent last line"/>
    <w:basedOn w:val="DHHSbody"/>
    <w:rsid w:val="00596A4B"/>
    <w:pPr>
      <w:numPr>
        <w:ilvl w:val="5"/>
        <w:numId w:val="43"/>
      </w:numPr>
    </w:pPr>
  </w:style>
  <w:style w:type="paragraph" w:customStyle="1" w:styleId="DHHSnumberdigit">
    <w:name w:val="DHHS number digit"/>
    <w:basedOn w:val="DHHSbody"/>
    <w:uiPriority w:val="4"/>
    <w:rsid w:val="00596A4B"/>
    <w:pPr>
      <w:numPr>
        <w:numId w:val="44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596A4B"/>
    <w:pPr>
      <w:numPr>
        <w:ilvl w:val="3"/>
        <w:numId w:val="44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596A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596A4B"/>
    <w:pPr>
      <w:numPr>
        <w:ilvl w:val="2"/>
        <w:numId w:val="44"/>
      </w:numPr>
    </w:pPr>
  </w:style>
  <w:style w:type="paragraph" w:customStyle="1" w:styleId="DHHSnumberlowerroman">
    <w:name w:val="DHHS number lower roman"/>
    <w:basedOn w:val="DHHSbody"/>
    <w:uiPriority w:val="4"/>
    <w:qFormat/>
    <w:rsid w:val="00596A4B"/>
    <w:pPr>
      <w:numPr>
        <w:ilvl w:val="4"/>
        <w:numId w:val="44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596A4B"/>
    <w:pPr>
      <w:numPr>
        <w:ilvl w:val="5"/>
        <w:numId w:val="44"/>
      </w:numPr>
    </w:pPr>
  </w:style>
  <w:style w:type="paragraph" w:customStyle="1" w:styleId="DHHSquote">
    <w:name w:val="DHHS quote"/>
    <w:basedOn w:val="DHHSbody"/>
    <w:uiPriority w:val="3"/>
    <w:qFormat/>
    <w:rsid w:val="00596A4B"/>
    <w:pPr>
      <w:ind w:left="397"/>
    </w:pPr>
    <w:rPr>
      <w:szCs w:val="18"/>
      <w:lang w:val="fr-FR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1"/>
    <w:rsid w:val="00951D50"/>
    <w:pPr>
      <w:spacing w:before="240" w:after="120" w:line="270" w:lineRule="atLeas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AT0410\My%20Documents\Downloads\DHHS-Factsheet-07-Sage-5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DHHS-Factsheet-07-Sage-5483.dot</Template>
  <TotalTime>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&amp; Human Services</Company>
  <LinksUpToDate>false</LinksUpToDate>
  <CharactersWithSpaces>3146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dbat0410</dc:creator>
  <cp:keywords/>
  <cp:lastModifiedBy>dbat0410</cp:lastModifiedBy>
  <cp:revision>1</cp:revision>
  <cp:lastPrinted>2015-01-28T04:08:00Z</cp:lastPrinted>
  <dcterms:created xsi:type="dcterms:W3CDTF">2015-05-27T02:50:00Z</dcterms:created>
  <dcterms:modified xsi:type="dcterms:W3CDTF">2015-05-27T03:00:00Z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