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D7CE" w14:textId="77777777" w:rsidR="000D478F" w:rsidRDefault="000D478F" w:rsidP="00BE6AC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49A3FB" w14:textId="77777777" w:rsidR="005A516D" w:rsidRPr="005A516D" w:rsidRDefault="00F62400" w:rsidP="00BE6AC8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</w:pPr>
      <w:r w:rsidRPr="005A516D"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  <w:t xml:space="preserve">Children’s Resource Program </w:t>
      </w:r>
    </w:p>
    <w:p w14:paraId="5C2D61A7" w14:textId="01C088B8" w:rsidR="00F62400" w:rsidRPr="005A516D" w:rsidRDefault="00757DEC" w:rsidP="00BE6AC8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</w:pPr>
      <w:r w:rsidRPr="005A516D"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  <w:t>School Support</w:t>
      </w:r>
      <w:r w:rsidR="00AE2AE9" w:rsidRPr="005A516D"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  <w:t xml:space="preserve"> Funding</w:t>
      </w:r>
      <w:r w:rsidR="00303B23" w:rsidRPr="005A516D"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  <w:t xml:space="preserve"> </w:t>
      </w:r>
      <w:r w:rsidR="005A516D" w:rsidRPr="005A516D">
        <w:rPr>
          <w:rFonts w:asciiTheme="minorHAnsi" w:hAnsiTheme="minorHAnsi" w:cstheme="minorHAnsi"/>
          <w:b/>
          <w:color w:val="17365D" w:themeColor="text2" w:themeShade="BF"/>
          <w:spacing w:val="30"/>
          <w:sz w:val="32"/>
          <w:szCs w:val="32"/>
        </w:rPr>
        <w:t>Guide</w:t>
      </w:r>
    </w:p>
    <w:p w14:paraId="540826CC" w14:textId="77777777" w:rsidR="00303B23" w:rsidRPr="00303B23" w:rsidRDefault="00303B23" w:rsidP="00BE6AC8">
      <w:pPr>
        <w:jc w:val="center"/>
        <w:rPr>
          <w:rFonts w:asciiTheme="minorHAnsi" w:hAnsiTheme="minorHAnsi" w:cstheme="minorHAnsi"/>
          <w:b/>
          <w:u w:val="single"/>
        </w:rPr>
      </w:pPr>
    </w:p>
    <w:p w14:paraId="28DE8114" w14:textId="08E21F5B" w:rsidR="00833AC5" w:rsidRPr="00833AC5" w:rsidRDefault="00F62400" w:rsidP="005538B7">
      <w:pPr>
        <w:spacing w:line="312" w:lineRule="auto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The RE Ross Trust</w:t>
      </w:r>
      <w:r w:rsidR="00833AC5">
        <w:rPr>
          <w:rFonts w:asciiTheme="minorHAnsi" w:hAnsiTheme="minorHAnsi" w:cstheme="minorHAnsi"/>
        </w:rPr>
        <w:t xml:space="preserve"> provide </w:t>
      </w:r>
      <w:r w:rsidR="00303B23" w:rsidRPr="00833AC5">
        <w:rPr>
          <w:rFonts w:asciiTheme="minorHAnsi" w:hAnsiTheme="minorHAnsi" w:cstheme="minorHAnsi"/>
        </w:rPr>
        <w:t>funds</w:t>
      </w:r>
      <w:r w:rsidR="00B23971">
        <w:rPr>
          <w:rFonts w:asciiTheme="minorHAnsi" w:hAnsiTheme="minorHAnsi" w:cstheme="minorHAnsi"/>
        </w:rPr>
        <w:t xml:space="preserve"> to</w:t>
      </w:r>
      <w:r w:rsidR="00303B23" w:rsidRPr="00833AC5">
        <w:rPr>
          <w:rFonts w:asciiTheme="minorHAnsi" w:hAnsiTheme="minorHAnsi" w:cstheme="minorHAnsi"/>
        </w:rPr>
        <w:t xml:space="preserve"> the</w:t>
      </w:r>
      <w:r w:rsidR="00812D24" w:rsidRPr="00833AC5">
        <w:rPr>
          <w:rFonts w:asciiTheme="minorHAnsi" w:hAnsiTheme="minorHAnsi" w:cstheme="minorHAnsi"/>
        </w:rPr>
        <w:t xml:space="preserve"> </w:t>
      </w:r>
      <w:r w:rsidR="00B552B6" w:rsidRPr="00833AC5">
        <w:rPr>
          <w:rFonts w:asciiTheme="minorHAnsi" w:hAnsiTheme="minorHAnsi" w:cstheme="minorHAnsi"/>
        </w:rPr>
        <w:t>Loddon Mallee Homelessness Network (LMHN)</w:t>
      </w:r>
      <w:r w:rsidR="00303B23" w:rsidRPr="00833AC5">
        <w:rPr>
          <w:rFonts w:asciiTheme="minorHAnsi" w:hAnsiTheme="minorHAnsi" w:cstheme="minorHAnsi"/>
        </w:rPr>
        <w:t xml:space="preserve"> emergency relief</w:t>
      </w:r>
      <w:r w:rsidR="00833AC5">
        <w:rPr>
          <w:rFonts w:asciiTheme="minorHAnsi" w:hAnsiTheme="minorHAnsi" w:cstheme="minorHAnsi"/>
        </w:rPr>
        <w:t xml:space="preserve"> </w:t>
      </w:r>
      <w:r w:rsidR="00303B23" w:rsidRPr="00833AC5">
        <w:rPr>
          <w:rFonts w:asciiTheme="minorHAnsi" w:hAnsiTheme="minorHAnsi" w:cstheme="minorHAnsi"/>
        </w:rPr>
        <w:t>program</w:t>
      </w:r>
      <w:r w:rsidRPr="00833AC5">
        <w:rPr>
          <w:rFonts w:asciiTheme="minorHAnsi" w:hAnsiTheme="minorHAnsi" w:cstheme="minorHAnsi"/>
        </w:rPr>
        <w:t xml:space="preserve"> to support educational costs for children </w:t>
      </w:r>
      <w:r w:rsidR="00B23971">
        <w:rPr>
          <w:rFonts w:asciiTheme="minorHAnsi" w:hAnsiTheme="minorHAnsi" w:cstheme="minorHAnsi"/>
        </w:rPr>
        <w:t xml:space="preserve">in families </w:t>
      </w:r>
      <w:r w:rsidRPr="00833AC5">
        <w:rPr>
          <w:rFonts w:asciiTheme="minorHAnsi" w:hAnsiTheme="minorHAnsi" w:cstheme="minorHAnsi"/>
        </w:rPr>
        <w:t xml:space="preserve">experiencing homelessness/family violence.  </w:t>
      </w:r>
    </w:p>
    <w:p w14:paraId="4615FC63" w14:textId="4EEC4F36" w:rsidR="00F62400" w:rsidRPr="00833AC5" w:rsidRDefault="00B23971" w:rsidP="005538B7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5534D" w:rsidRPr="00833AC5">
        <w:rPr>
          <w:rFonts w:asciiTheme="minorHAnsi" w:hAnsiTheme="minorHAnsi" w:cstheme="minorHAnsi"/>
        </w:rPr>
        <w:t>unds</w:t>
      </w:r>
      <w:r>
        <w:rPr>
          <w:rFonts w:asciiTheme="minorHAnsi" w:hAnsiTheme="minorHAnsi" w:cstheme="minorHAnsi"/>
        </w:rPr>
        <w:t xml:space="preserve"> are allocated</w:t>
      </w:r>
      <w:r w:rsidR="00F62400" w:rsidRPr="00833A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D450D1" w:rsidRPr="00833AC5">
        <w:rPr>
          <w:rFonts w:asciiTheme="minorHAnsi" w:hAnsiTheme="minorHAnsi" w:cstheme="minorHAnsi"/>
        </w:rPr>
        <w:t>SHS programs</w:t>
      </w:r>
      <w:r w:rsidR="00F62400" w:rsidRPr="00833AC5">
        <w:rPr>
          <w:rFonts w:asciiTheme="minorHAnsi" w:hAnsiTheme="minorHAnsi" w:cstheme="minorHAnsi"/>
        </w:rPr>
        <w:t xml:space="preserve"> in the Loddon Mallee Region</w:t>
      </w:r>
      <w:r w:rsidR="00833A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the start of the </w:t>
      </w:r>
      <w:r w:rsidRPr="00833AC5">
        <w:rPr>
          <w:rFonts w:asciiTheme="minorHAnsi" w:hAnsiTheme="minorHAnsi" w:cstheme="minorHAnsi"/>
        </w:rPr>
        <w:t xml:space="preserve">financial year </w:t>
      </w:r>
      <w:r>
        <w:rPr>
          <w:rFonts w:asciiTheme="minorHAnsi" w:hAnsiTheme="minorHAnsi" w:cstheme="minorHAnsi"/>
        </w:rPr>
        <w:t>and unspent funds leading into the new financial year are pooled to provide agencies with another allocation.</w:t>
      </w:r>
    </w:p>
    <w:p w14:paraId="54803848" w14:textId="55D111C0" w:rsidR="00303B23" w:rsidRDefault="00303B23" w:rsidP="005538B7">
      <w:pPr>
        <w:spacing w:line="312" w:lineRule="auto"/>
        <w:rPr>
          <w:rFonts w:asciiTheme="minorHAnsi" w:hAnsiTheme="minorHAnsi" w:cstheme="minorHAnsi"/>
        </w:rPr>
      </w:pPr>
    </w:p>
    <w:p w14:paraId="3C1997F4" w14:textId="77777777" w:rsidR="005A682E" w:rsidRDefault="005A682E" w:rsidP="005538B7">
      <w:pPr>
        <w:spacing w:line="312" w:lineRule="auto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sectPr w:rsidR="005A682E" w:rsidSect="00683440">
          <w:headerReference w:type="default" r:id="rId8"/>
          <w:footerReference w:type="default" r:id="rId9"/>
          <w:pgSz w:w="11906" w:h="16838"/>
          <w:pgMar w:top="851" w:right="907" w:bottom="907" w:left="1304" w:header="907" w:footer="709" w:gutter="0"/>
          <w:cols w:space="708"/>
          <w:docGrid w:linePitch="360"/>
        </w:sectPr>
      </w:pPr>
    </w:p>
    <w:p w14:paraId="55FC0596" w14:textId="4DFE9EA9" w:rsidR="00F62400" w:rsidRPr="000D478F" w:rsidRDefault="004617C7" w:rsidP="005538B7">
      <w:pPr>
        <w:spacing w:line="312" w:lineRule="auto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O</w:t>
      </w:r>
      <w:r w:rsidR="00F62400"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bjectives</w:t>
      </w:r>
    </w:p>
    <w:p w14:paraId="406F26C1" w14:textId="3857E0CF" w:rsidR="00F62400" w:rsidRPr="00833AC5" w:rsidRDefault="00812D24" w:rsidP="005538B7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 xml:space="preserve">To reduce </w:t>
      </w:r>
      <w:r w:rsidR="00F62400" w:rsidRPr="00833AC5">
        <w:rPr>
          <w:rFonts w:asciiTheme="minorHAnsi" w:hAnsiTheme="minorHAnsi" w:cstheme="minorHAnsi"/>
        </w:rPr>
        <w:t>discrimination</w:t>
      </w:r>
      <w:r w:rsidRPr="00833AC5">
        <w:rPr>
          <w:rFonts w:asciiTheme="minorHAnsi" w:hAnsiTheme="minorHAnsi" w:cstheme="minorHAnsi"/>
        </w:rPr>
        <w:t xml:space="preserve"> </w:t>
      </w:r>
      <w:r w:rsidR="00A93CC3">
        <w:rPr>
          <w:rFonts w:asciiTheme="minorHAnsi" w:hAnsiTheme="minorHAnsi" w:cstheme="minorHAnsi"/>
        </w:rPr>
        <w:t>against</w:t>
      </w:r>
      <w:r w:rsidRPr="00833AC5">
        <w:rPr>
          <w:rFonts w:asciiTheme="minorHAnsi" w:hAnsiTheme="minorHAnsi" w:cstheme="minorHAnsi"/>
        </w:rPr>
        <w:t xml:space="preserve"> children whose parents or carers are experiencing financial hardshi</w:t>
      </w:r>
      <w:r w:rsidR="005538B7">
        <w:rPr>
          <w:rFonts w:asciiTheme="minorHAnsi" w:hAnsiTheme="minorHAnsi" w:cstheme="minorHAnsi"/>
        </w:rPr>
        <w:t>p</w:t>
      </w:r>
    </w:p>
    <w:p w14:paraId="032E9D19" w14:textId="379E7B51" w:rsidR="00F62400" w:rsidRPr="00833AC5" w:rsidRDefault="00F62400" w:rsidP="005538B7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To enable children to move from the crisis stage to recovery</w:t>
      </w:r>
      <w:r w:rsidR="005538B7">
        <w:rPr>
          <w:rFonts w:asciiTheme="minorHAnsi" w:hAnsiTheme="minorHAnsi" w:cstheme="minorHAnsi"/>
        </w:rPr>
        <w:t xml:space="preserve"> </w:t>
      </w:r>
      <w:r w:rsidR="000B1432" w:rsidRPr="00833AC5">
        <w:rPr>
          <w:rFonts w:asciiTheme="minorHAnsi" w:hAnsiTheme="minorHAnsi" w:cstheme="minorHAnsi"/>
        </w:rPr>
        <w:t>by having</w:t>
      </w:r>
      <w:r w:rsidRPr="00833AC5">
        <w:rPr>
          <w:rFonts w:asciiTheme="minorHAnsi" w:hAnsiTheme="minorHAnsi" w:cstheme="minorHAnsi"/>
        </w:rPr>
        <w:t xml:space="preserve"> the oppo</w:t>
      </w:r>
      <w:r w:rsidR="00812D24" w:rsidRPr="00833AC5">
        <w:rPr>
          <w:rFonts w:asciiTheme="minorHAnsi" w:hAnsiTheme="minorHAnsi" w:cstheme="minorHAnsi"/>
        </w:rPr>
        <w:t xml:space="preserve">rtunity to develop </w:t>
      </w:r>
      <w:r w:rsidR="005538B7">
        <w:rPr>
          <w:rFonts w:asciiTheme="minorHAnsi" w:hAnsiTheme="minorHAnsi" w:cstheme="minorHAnsi"/>
        </w:rPr>
        <w:t xml:space="preserve">resilience, </w:t>
      </w:r>
      <w:r w:rsidR="00812D24" w:rsidRPr="00833AC5">
        <w:rPr>
          <w:rFonts w:asciiTheme="minorHAnsi" w:hAnsiTheme="minorHAnsi" w:cstheme="minorHAnsi"/>
        </w:rPr>
        <w:t xml:space="preserve">and aid in prevention of </w:t>
      </w:r>
      <w:r w:rsidRPr="00833AC5">
        <w:rPr>
          <w:rFonts w:asciiTheme="minorHAnsi" w:hAnsiTheme="minorHAnsi" w:cstheme="minorHAnsi"/>
        </w:rPr>
        <w:t>recurrent</w:t>
      </w:r>
      <w:r w:rsidR="00812D24" w:rsidRPr="00833AC5">
        <w:rPr>
          <w:rFonts w:asciiTheme="minorHAnsi" w:hAnsiTheme="minorHAnsi" w:cstheme="minorHAnsi"/>
        </w:rPr>
        <w:t xml:space="preserve"> presentations to SHS programs.</w:t>
      </w:r>
    </w:p>
    <w:p w14:paraId="2E4D7989" w14:textId="1A6325D5" w:rsidR="00F62400" w:rsidRPr="00833AC5" w:rsidRDefault="00F62400" w:rsidP="005538B7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 xml:space="preserve">To develop social inclusion </w:t>
      </w:r>
      <w:r w:rsidR="00812D24" w:rsidRPr="00833AC5">
        <w:rPr>
          <w:rFonts w:asciiTheme="minorHAnsi" w:hAnsiTheme="minorHAnsi" w:cstheme="minorHAnsi"/>
        </w:rPr>
        <w:t>at</w:t>
      </w:r>
      <w:r w:rsidRPr="00833AC5">
        <w:rPr>
          <w:rFonts w:asciiTheme="minorHAnsi" w:hAnsiTheme="minorHAnsi" w:cstheme="minorHAnsi"/>
        </w:rPr>
        <w:t xml:space="preserve"> school for children </w:t>
      </w:r>
      <w:r w:rsidR="005538B7">
        <w:rPr>
          <w:rFonts w:asciiTheme="minorHAnsi" w:hAnsiTheme="minorHAnsi" w:cstheme="minorHAnsi"/>
        </w:rPr>
        <w:t>might</w:t>
      </w:r>
      <w:r w:rsidR="00812D24" w:rsidRPr="00833AC5">
        <w:rPr>
          <w:rFonts w:asciiTheme="minorHAnsi" w:hAnsiTheme="minorHAnsi" w:cstheme="minorHAnsi"/>
        </w:rPr>
        <w:t xml:space="preserve"> have </w:t>
      </w:r>
      <w:r w:rsidRPr="00833AC5">
        <w:rPr>
          <w:rFonts w:asciiTheme="minorHAnsi" w:hAnsiTheme="minorHAnsi" w:cstheme="minorHAnsi"/>
        </w:rPr>
        <w:t>lost their extended fami</w:t>
      </w:r>
      <w:r w:rsidR="004617C7" w:rsidRPr="00833AC5">
        <w:rPr>
          <w:rFonts w:asciiTheme="minorHAnsi" w:hAnsiTheme="minorHAnsi" w:cstheme="minorHAnsi"/>
        </w:rPr>
        <w:t xml:space="preserve">ly, school mates </w:t>
      </w:r>
      <w:r w:rsidR="005538B7">
        <w:rPr>
          <w:rFonts w:asciiTheme="minorHAnsi" w:hAnsiTheme="minorHAnsi" w:cstheme="minorHAnsi"/>
        </w:rPr>
        <w:t>or</w:t>
      </w:r>
      <w:r w:rsidR="004617C7" w:rsidRPr="00833AC5">
        <w:rPr>
          <w:rFonts w:asciiTheme="minorHAnsi" w:hAnsiTheme="minorHAnsi" w:cstheme="minorHAnsi"/>
        </w:rPr>
        <w:t xml:space="preserve"> friends through relocation.</w:t>
      </w:r>
    </w:p>
    <w:p w14:paraId="6D3C521D" w14:textId="406FDDA4" w:rsidR="00F62400" w:rsidRPr="00833AC5" w:rsidRDefault="00F62400" w:rsidP="005538B7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 xml:space="preserve">To provide accompanying children with literacy/numeracy support to promote </w:t>
      </w:r>
      <w:r w:rsidR="005538B7">
        <w:rPr>
          <w:rFonts w:asciiTheme="minorHAnsi" w:hAnsiTheme="minorHAnsi" w:cstheme="minorHAnsi"/>
        </w:rPr>
        <w:t xml:space="preserve">confidence </w:t>
      </w:r>
      <w:r w:rsidRPr="00833AC5">
        <w:rPr>
          <w:rFonts w:asciiTheme="minorHAnsi" w:hAnsiTheme="minorHAnsi" w:cstheme="minorHAnsi"/>
        </w:rPr>
        <w:t>following disruption in education.</w:t>
      </w:r>
    </w:p>
    <w:p w14:paraId="3E270F1B" w14:textId="12BA5592" w:rsidR="00F62400" w:rsidRDefault="00F62400" w:rsidP="005538B7">
      <w:pPr>
        <w:spacing w:line="312" w:lineRule="auto"/>
        <w:rPr>
          <w:rFonts w:asciiTheme="minorHAnsi" w:hAnsiTheme="minorHAnsi" w:cstheme="minorHAnsi"/>
        </w:rPr>
      </w:pPr>
    </w:p>
    <w:p w14:paraId="7B7B6049" w14:textId="66745621" w:rsidR="00F62400" w:rsidRPr="000D478F" w:rsidRDefault="004617C7" w:rsidP="005538B7">
      <w:pPr>
        <w:spacing w:line="312" w:lineRule="auto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O</w:t>
      </w:r>
      <w:r w:rsidR="00F62400"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utcomes</w:t>
      </w:r>
    </w:p>
    <w:p w14:paraId="4729DCC9" w14:textId="77777777" w:rsidR="00F62400" w:rsidRPr="00833AC5" w:rsidRDefault="004617C7" w:rsidP="005538B7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E</w:t>
      </w:r>
      <w:r w:rsidR="00F62400" w:rsidRPr="00833AC5">
        <w:rPr>
          <w:rFonts w:asciiTheme="minorHAnsi" w:hAnsiTheme="minorHAnsi" w:cstheme="minorHAnsi"/>
        </w:rPr>
        <w:t>ngagement in the normal school program</w:t>
      </w:r>
    </w:p>
    <w:p w14:paraId="2C07E60F" w14:textId="77777777" w:rsidR="00F62400" w:rsidRPr="00833AC5" w:rsidRDefault="004617C7" w:rsidP="005538B7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Re</w:t>
      </w:r>
      <w:r w:rsidR="00F62400" w:rsidRPr="00833AC5">
        <w:rPr>
          <w:rFonts w:asciiTheme="minorHAnsi" w:hAnsiTheme="minorHAnsi" w:cstheme="minorHAnsi"/>
        </w:rPr>
        <w:t xml:space="preserve">gular </w:t>
      </w:r>
      <w:r w:rsidRPr="00833AC5">
        <w:rPr>
          <w:rFonts w:asciiTheme="minorHAnsi" w:hAnsiTheme="minorHAnsi" w:cstheme="minorHAnsi"/>
        </w:rPr>
        <w:t>attendance at school</w:t>
      </w:r>
    </w:p>
    <w:p w14:paraId="46119B86" w14:textId="77777777" w:rsidR="00F62400" w:rsidRPr="00833AC5" w:rsidRDefault="004617C7" w:rsidP="005538B7">
      <w:pPr>
        <w:pStyle w:val="ListParagraph"/>
        <w:numPr>
          <w:ilvl w:val="0"/>
          <w:numId w:val="27"/>
        </w:numPr>
        <w:spacing w:line="312" w:lineRule="auto"/>
        <w:ind w:left="284" w:hanging="284"/>
        <w:rPr>
          <w:rFonts w:asciiTheme="minorHAnsi" w:hAnsiTheme="minorHAnsi" w:cstheme="minorHAnsi"/>
          <w:bCs/>
          <w:caps/>
        </w:rPr>
      </w:pPr>
      <w:r w:rsidRPr="00833AC5">
        <w:rPr>
          <w:rFonts w:asciiTheme="minorHAnsi" w:hAnsiTheme="minorHAnsi" w:cstheme="minorHAnsi"/>
        </w:rPr>
        <w:t>Sustaining social engagement with</w:t>
      </w:r>
      <w:r w:rsidR="00F62400" w:rsidRPr="00833AC5">
        <w:rPr>
          <w:rFonts w:asciiTheme="minorHAnsi" w:hAnsiTheme="minorHAnsi" w:cstheme="minorHAnsi"/>
        </w:rPr>
        <w:t xml:space="preserve"> </w:t>
      </w:r>
      <w:r w:rsidRPr="00833AC5">
        <w:rPr>
          <w:rFonts w:asciiTheme="minorHAnsi" w:hAnsiTheme="minorHAnsi" w:cstheme="minorHAnsi"/>
        </w:rPr>
        <w:t>family</w:t>
      </w:r>
      <w:r w:rsidR="00F62400" w:rsidRPr="00833AC5">
        <w:rPr>
          <w:rFonts w:asciiTheme="minorHAnsi" w:hAnsiTheme="minorHAnsi" w:cstheme="minorHAnsi"/>
        </w:rPr>
        <w:t>, school and community</w:t>
      </w:r>
    </w:p>
    <w:p w14:paraId="2C8847DC" w14:textId="77777777" w:rsidR="00F62400" w:rsidRPr="00833AC5" w:rsidRDefault="004617C7" w:rsidP="005538B7">
      <w:pPr>
        <w:pStyle w:val="ListParagraph"/>
        <w:numPr>
          <w:ilvl w:val="0"/>
          <w:numId w:val="27"/>
        </w:numPr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Addressing literacy or numeracy problems</w:t>
      </w:r>
    </w:p>
    <w:p w14:paraId="7B307530" w14:textId="77777777" w:rsidR="00833AC5" w:rsidRPr="00833AC5" w:rsidRDefault="00833AC5" w:rsidP="005538B7">
      <w:pPr>
        <w:spacing w:line="312" w:lineRule="auto"/>
        <w:ind w:left="284" w:hanging="284"/>
        <w:rPr>
          <w:rFonts w:asciiTheme="minorHAnsi" w:hAnsiTheme="minorHAnsi" w:cstheme="minorHAnsi"/>
          <w:b/>
        </w:rPr>
      </w:pPr>
    </w:p>
    <w:p w14:paraId="10B48219" w14:textId="77777777" w:rsidR="005A682E" w:rsidRDefault="005A682E" w:rsidP="005538B7">
      <w:pPr>
        <w:spacing w:line="312" w:lineRule="auto"/>
        <w:ind w:left="284" w:hanging="284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sectPr w:rsidR="005A682E" w:rsidSect="005A682E">
          <w:type w:val="continuous"/>
          <w:pgSz w:w="11906" w:h="16838"/>
          <w:pgMar w:top="851" w:right="907" w:bottom="907" w:left="1304" w:header="907" w:footer="709" w:gutter="0"/>
          <w:cols w:num="2" w:space="708"/>
          <w:docGrid w:linePitch="360"/>
        </w:sectPr>
      </w:pPr>
    </w:p>
    <w:p w14:paraId="4287A6EE" w14:textId="77777777" w:rsidR="005A682E" w:rsidRDefault="005A682E" w:rsidP="005538B7">
      <w:pPr>
        <w:spacing w:line="312" w:lineRule="auto"/>
        <w:ind w:left="284" w:hanging="284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</w:pPr>
    </w:p>
    <w:p w14:paraId="53682036" w14:textId="77EFB88B" w:rsidR="000B1432" w:rsidRPr="000D478F" w:rsidRDefault="000D478F" w:rsidP="005538B7">
      <w:pPr>
        <w:spacing w:line="312" w:lineRule="auto"/>
        <w:ind w:left="284" w:hanging="284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</w:pPr>
      <w:r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t xml:space="preserve">Application </w:t>
      </w:r>
      <w:r w:rsidR="000B1432"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t>Criter</w:t>
      </w:r>
      <w:r w:rsidR="005538B7"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t>i</w:t>
      </w:r>
      <w:r w:rsidR="000B1432"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t>a</w:t>
      </w:r>
    </w:p>
    <w:p w14:paraId="5CA8932E" w14:textId="1557DF13" w:rsidR="000B1432" w:rsidRPr="00833AC5" w:rsidRDefault="000B1432" w:rsidP="005538B7">
      <w:pPr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Children must be attending primary or secondary school</w:t>
      </w:r>
      <w:r w:rsidR="007A4539">
        <w:rPr>
          <w:rFonts w:asciiTheme="minorHAnsi" w:hAnsiTheme="minorHAnsi" w:cstheme="minorHAnsi"/>
        </w:rPr>
        <w:t>.</w:t>
      </w:r>
    </w:p>
    <w:p w14:paraId="4A233B34" w14:textId="52338B41" w:rsidR="000B1432" w:rsidRPr="00833AC5" w:rsidRDefault="000B1432" w:rsidP="005538B7">
      <w:pPr>
        <w:spacing w:line="312" w:lineRule="auto"/>
        <w:ind w:left="284" w:hanging="284"/>
        <w:rPr>
          <w:rFonts w:asciiTheme="minorHAnsi" w:hAnsiTheme="minorHAnsi" w:cstheme="minorHAnsi"/>
        </w:rPr>
      </w:pPr>
      <w:r w:rsidRPr="00833AC5">
        <w:rPr>
          <w:rFonts w:asciiTheme="minorHAnsi" w:hAnsiTheme="minorHAnsi" w:cstheme="minorHAnsi"/>
        </w:rPr>
        <w:t>Applications for current material needs</w:t>
      </w:r>
      <w:r w:rsidR="00D450D1" w:rsidRPr="00833AC5">
        <w:rPr>
          <w:rFonts w:asciiTheme="minorHAnsi" w:hAnsiTheme="minorHAnsi" w:cstheme="minorHAnsi"/>
        </w:rPr>
        <w:t xml:space="preserve"> only </w:t>
      </w:r>
      <w:r w:rsidRPr="00833AC5">
        <w:rPr>
          <w:rFonts w:asciiTheme="minorHAnsi" w:hAnsiTheme="minorHAnsi" w:cstheme="minorHAnsi"/>
        </w:rPr>
        <w:t xml:space="preserve">- </w:t>
      </w:r>
      <w:r w:rsidRPr="005A682E">
        <w:rPr>
          <w:rFonts w:asciiTheme="minorHAnsi" w:hAnsiTheme="minorHAnsi" w:cstheme="minorHAnsi"/>
          <w:color w:val="FF0000"/>
        </w:rPr>
        <w:t>unpaid/outstand</w:t>
      </w:r>
      <w:r w:rsidR="00833AC5" w:rsidRPr="005A682E">
        <w:rPr>
          <w:rFonts w:asciiTheme="minorHAnsi" w:hAnsiTheme="minorHAnsi" w:cstheme="minorHAnsi"/>
          <w:color w:val="FF0000"/>
        </w:rPr>
        <w:t>ing</w:t>
      </w:r>
      <w:r w:rsidRPr="005A682E">
        <w:rPr>
          <w:rFonts w:asciiTheme="minorHAnsi" w:hAnsiTheme="minorHAnsi" w:cstheme="minorHAnsi"/>
          <w:color w:val="FF0000"/>
        </w:rPr>
        <w:t xml:space="preserve"> accounts cannot be funded</w:t>
      </w:r>
      <w:r w:rsidRPr="00833AC5">
        <w:rPr>
          <w:rFonts w:asciiTheme="minorHAnsi" w:hAnsiTheme="minorHAnsi" w:cstheme="minorHAnsi"/>
        </w:rPr>
        <w:t>.</w:t>
      </w:r>
    </w:p>
    <w:p w14:paraId="44A31E85" w14:textId="4D5DE8A2" w:rsidR="00303B23" w:rsidRDefault="00DF3A6F" w:rsidP="00553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33AC5" w:rsidRPr="00833AC5">
        <w:rPr>
          <w:rFonts w:asciiTheme="minorHAnsi" w:hAnsiTheme="minorHAnsi" w:cstheme="minorHAnsi"/>
        </w:rPr>
        <w:t xml:space="preserve">ther </w:t>
      </w:r>
      <w:r>
        <w:rPr>
          <w:rFonts w:asciiTheme="minorHAnsi" w:hAnsiTheme="minorHAnsi" w:cstheme="minorHAnsi"/>
        </w:rPr>
        <w:t xml:space="preserve">relevant </w:t>
      </w:r>
      <w:r w:rsidR="00833AC5" w:rsidRPr="00833AC5">
        <w:rPr>
          <w:rFonts w:asciiTheme="minorHAnsi" w:hAnsiTheme="minorHAnsi" w:cstheme="minorHAnsi"/>
        </w:rPr>
        <w:t>fund</w:t>
      </w:r>
      <w:r>
        <w:rPr>
          <w:rFonts w:asciiTheme="minorHAnsi" w:hAnsiTheme="minorHAnsi" w:cstheme="minorHAnsi"/>
        </w:rPr>
        <w:t xml:space="preserve">ing programs </w:t>
      </w:r>
      <w:r w:rsidR="000B1432" w:rsidRPr="00833AC5">
        <w:rPr>
          <w:rFonts w:asciiTheme="minorHAnsi" w:hAnsiTheme="minorHAnsi" w:cstheme="minorHAnsi"/>
        </w:rPr>
        <w:t>should be accessed prior to apply</w:t>
      </w:r>
      <w:r w:rsidR="00833AC5" w:rsidRPr="00833AC5">
        <w:rPr>
          <w:rFonts w:asciiTheme="minorHAnsi" w:hAnsiTheme="minorHAnsi" w:cstheme="minorHAnsi"/>
        </w:rPr>
        <w:t>ing</w:t>
      </w:r>
      <w:r w:rsidR="000B1432" w:rsidRPr="00833AC5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 xml:space="preserve">LMHN </w:t>
      </w:r>
      <w:r w:rsidR="000B1432" w:rsidRPr="00833AC5">
        <w:rPr>
          <w:rFonts w:asciiTheme="minorHAnsi" w:hAnsiTheme="minorHAnsi" w:cstheme="minorHAnsi"/>
        </w:rPr>
        <w:t>brokerage</w:t>
      </w:r>
      <w:r>
        <w:rPr>
          <w:rFonts w:asciiTheme="minorHAnsi" w:hAnsiTheme="minorHAnsi" w:cstheme="minorHAnsi"/>
        </w:rPr>
        <w:t>.</w:t>
      </w:r>
    </w:p>
    <w:p w14:paraId="26B27D4C" w14:textId="0F309697" w:rsidR="00B23971" w:rsidRPr="00833AC5" w:rsidRDefault="00B23971" w:rsidP="005538B7">
      <w:pPr>
        <w:rPr>
          <w:rFonts w:asciiTheme="minorHAnsi" w:hAnsiTheme="minorHAnsi" w:cstheme="minorHAnsi"/>
        </w:rPr>
      </w:pPr>
    </w:p>
    <w:p w14:paraId="70D1B032" w14:textId="61A6B80F" w:rsidR="00DF3A6F" w:rsidRDefault="007A4539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Eg</w:t>
      </w:r>
      <w:proofErr w:type="spellEnd"/>
      <w:r w:rsidR="00DF3A6F" w:rsidRPr="00DF3A6F">
        <w:rPr>
          <w:rFonts w:asciiTheme="minorHAnsi" w:hAnsiTheme="minorHAnsi" w:cstheme="minorHAnsi"/>
          <w:bCs/>
        </w:rPr>
        <w:t>: State School Relief</w:t>
      </w:r>
      <w:r w:rsidR="005A682E">
        <w:rPr>
          <w:rFonts w:asciiTheme="minorHAnsi" w:hAnsiTheme="minorHAnsi" w:cstheme="minorHAnsi"/>
          <w:bCs/>
        </w:rPr>
        <w:t xml:space="preserve">, </w:t>
      </w:r>
      <w:r w:rsidR="00DF3A6F" w:rsidRPr="00DF3A6F">
        <w:rPr>
          <w:rFonts w:asciiTheme="minorHAnsi" w:hAnsiTheme="minorHAnsi" w:cstheme="minorHAnsi"/>
          <w:bCs/>
        </w:rPr>
        <w:t>Family Violence Flexible Support</w:t>
      </w:r>
      <w:r w:rsidR="005A682E">
        <w:rPr>
          <w:rFonts w:asciiTheme="minorHAnsi" w:hAnsiTheme="minorHAnsi" w:cstheme="minorHAnsi"/>
          <w:bCs/>
        </w:rPr>
        <w:t xml:space="preserve">, </w:t>
      </w:r>
      <w:r w:rsidR="00DF3A6F" w:rsidRPr="00DF3A6F">
        <w:rPr>
          <w:rFonts w:asciiTheme="minorHAnsi" w:hAnsiTheme="minorHAnsi" w:cstheme="minorHAnsi"/>
          <w:bCs/>
        </w:rPr>
        <w:t>Camps</w:t>
      </w:r>
      <w:r w:rsidR="005A682E">
        <w:rPr>
          <w:rFonts w:asciiTheme="minorHAnsi" w:hAnsiTheme="minorHAnsi" w:cstheme="minorHAnsi"/>
          <w:bCs/>
        </w:rPr>
        <w:t>/</w:t>
      </w:r>
      <w:r w:rsidR="00DF3A6F" w:rsidRPr="00DF3A6F">
        <w:rPr>
          <w:rFonts w:asciiTheme="minorHAnsi" w:hAnsiTheme="minorHAnsi" w:cstheme="minorHAnsi"/>
          <w:bCs/>
        </w:rPr>
        <w:t>Sports</w:t>
      </w:r>
      <w:r w:rsidR="005A682E">
        <w:rPr>
          <w:rFonts w:asciiTheme="minorHAnsi" w:hAnsiTheme="minorHAnsi" w:cstheme="minorHAnsi"/>
          <w:bCs/>
        </w:rPr>
        <w:t xml:space="preserve"> &amp;</w:t>
      </w:r>
      <w:r w:rsidR="00DF3A6F" w:rsidRPr="00DF3A6F">
        <w:rPr>
          <w:rFonts w:asciiTheme="minorHAnsi" w:hAnsiTheme="minorHAnsi" w:cstheme="minorHAnsi"/>
          <w:bCs/>
        </w:rPr>
        <w:t xml:space="preserve"> Excursion </w:t>
      </w:r>
      <w:r w:rsidR="005538B7">
        <w:rPr>
          <w:rFonts w:asciiTheme="minorHAnsi" w:hAnsiTheme="minorHAnsi" w:cstheme="minorHAnsi"/>
          <w:bCs/>
        </w:rPr>
        <w:t>F</w:t>
      </w:r>
      <w:r w:rsidR="00DF3A6F" w:rsidRPr="00DF3A6F">
        <w:rPr>
          <w:rFonts w:asciiTheme="minorHAnsi" w:hAnsiTheme="minorHAnsi" w:cstheme="minorHAnsi"/>
          <w:bCs/>
        </w:rPr>
        <w:t>und</w:t>
      </w:r>
    </w:p>
    <w:p w14:paraId="01CEA99A" w14:textId="77777777" w:rsidR="005538B7" w:rsidRPr="00DF3A6F" w:rsidRDefault="005538B7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76151BF" w14:textId="2753E71F" w:rsidR="00DF3A6F" w:rsidRPr="00DF3A6F" w:rsidRDefault="00DF3A6F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See </w:t>
      </w:r>
      <w:hyperlink r:id="rId10" w:history="1">
        <w:r w:rsidRPr="00C913F4">
          <w:rPr>
            <w:rStyle w:val="Hyperlink"/>
            <w:rFonts w:asciiTheme="minorHAnsi" w:hAnsiTheme="minorHAnsi" w:cstheme="minorHAnsi"/>
            <w:bCs/>
          </w:rPr>
          <w:t>http://loma.net.au/childrens-resources/funding/</w:t>
        </w:r>
      </w:hyperlink>
      <w:r>
        <w:rPr>
          <w:rFonts w:asciiTheme="minorHAnsi" w:hAnsiTheme="minorHAnsi" w:cstheme="minorHAnsi"/>
          <w:bCs/>
        </w:rPr>
        <w:t xml:space="preserve"> for further </w:t>
      </w:r>
      <w:r w:rsidR="005538B7">
        <w:rPr>
          <w:rFonts w:asciiTheme="minorHAnsi" w:hAnsiTheme="minorHAnsi" w:cstheme="minorHAnsi"/>
          <w:bCs/>
        </w:rPr>
        <w:t xml:space="preserve">funding options and </w:t>
      </w:r>
      <w:r>
        <w:rPr>
          <w:rFonts w:asciiTheme="minorHAnsi" w:hAnsiTheme="minorHAnsi" w:cstheme="minorHAnsi"/>
          <w:bCs/>
        </w:rPr>
        <w:t>information.</w:t>
      </w:r>
    </w:p>
    <w:p w14:paraId="5565D64C" w14:textId="77777777" w:rsidR="007A4539" w:rsidRDefault="007A4539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1A83541B" w14:textId="683557E9" w:rsidR="000D478F" w:rsidRDefault="000D478F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617A8578" w14:textId="345F4827" w:rsidR="005A682E" w:rsidRDefault="005A682E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465FC7CD" w14:textId="6380CFD3" w:rsidR="005A682E" w:rsidRDefault="005A682E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5FB1AF03" w14:textId="77777777" w:rsidR="005A682E" w:rsidRDefault="005A682E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6259CEA4" w14:textId="77777777" w:rsidR="000D478F" w:rsidRDefault="000D478F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4133A6BC" w14:textId="77777777" w:rsidR="000D478F" w:rsidRDefault="000D478F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0690A9F5" w14:textId="3F892B54" w:rsidR="00D450D1" w:rsidRDefault="00833AC5" w:rsidP="005538B7">
      <w:pP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</w:pPr>
      <w:r w:rsidRPr="000D478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  <w:t>Guidelines</w:t>
      </w:r>
    </w:p>
    <w:p w14:paraId="449DA251" w14:textId="6E68CD39" w:rsidR="007A6AF2" w:rsidRDefault="007A6AF2" w:rsidP="005538B7">
      <w:pP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thick" w:color="FFC000"/>
        </w:rPr>
      </w:pPr>
    </w:p>
    <w:p w14:paraId="1ED32E55" w14:textId="5A29204E" w:rsidR="00A43F9C" w:rsidRPr="00E74E55" w:rsidRDefault="00E74E55" w:rsidP="005538B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74E55">
        <w:rPr>
          <w:rFonts w:asciiTheme="minorHAnsi" w:hAnsiTheme="minorHAnsi" w:cstheme="minorHAnsi"/>
          <w:b/>
          <w:color w:val="FF0000"/>
          <w:sz w:val="28"/>
          <w:szCs w:val="28"/>
        </w:rPr>
        <w:t>These funds are only to be accessed by SHS Support workers. Applications must include information about the child’s support needs.</w:t>
      </w:r>
    </w:p>
    <w:p w14:paraId="76C92A66" w14:textId="77777777" w:rsidR="00E74E55" w:rsidRDefault="00E74E55" w:rsidP="005538B7">
      <w:pPr>
        <w:rPr>
          <w:rFonts w:asciiTheme="minorHAnsi" w:hAnsiTheme="minorHAnsi" w:cstheme="minorHAnsi"/>
          <w:b/>
          <w:sz w:val="28"/>
          <w:szCs w:val="28"/>
        </w:rPr>
      </w:pPr>
    </w:p>
    <w:p w14:paraId="33358D2C" w14:textId="65812D3C" w:rsidR="00A43F9C" w:rsidRPr="00DF3A6F" w:rsidRDefault="00A43F9C" w:rsidP="005538B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F3A6F">
        <w:rPr>
          <w:rFonts w:asciiTheme="minorHAnsi" w:hAnsiTheme="minorHAnsi" w:cstheme="minorHAnsi"/>
          <w:b/>
          <w:bCs/>
        </w:rPr>
        <w:t>Funding application forms</w:t>
      </w:r>
      <w:r w:rsidRPr="00DF3A6F">
        <w:rPr>
          <w:rFonts w:asciiTheme="minorHAnsi" w:hAnsiTheme="minorHAnsi" w:cstheme="minorHAnsi"/>
          <w:bCs/>
        </w:rPr>
        <w:t xml:space="preserve"> are available on the LMH Network website at </w:t>
      </w:r>
      <w:hyperlink r:id="rId11" w:history="1">
        <w:r w:rsidRPr="00DF3A6F">
          <w:rPr>
            <w:rStyle w:val="Hyperlink"/>
            <w:rFonts w:asciiTheme="minorHAnsi" w:hAnsiTheme="minorHAnsi" w:cstheme="minorHAnsi"/>
            <w:bCs/>
          </w:rPr>
          <w:t>http://loma.net.au/childrens-resources/funding/</w:t>
        </w:r>
      </w:hyperlink>
      <w:r w:rsidRPr="00DF3A6F">
        <w:rPr>
          <w:rFonts w:asciiTheme="minorHAnsi" w:hAnsiTheme="minorHAnsi" w:cstheme="minorHAnsi"/>
          <w:bCs/>
        </w:rPr>
        <w:t xml:space="preserve"> </w:t>
      </w:r>
    </w:p>
    <w:p w14:paraId="2875AF19" w14:textId="77777777" w:rsidR="00A43F9C" w:rsidRPr="00DF3A6F" w:rsidRDefault="00A43F9C" w:rsidP="005538B7">
      <w:pPr>
        <w:rPr>
          <w:rFonts w:asciiTheme="minorHAnsi" w:hAnsiTheme="minorHAnsi" w:cstheme="minorHAnsi"/>
        </w:rPr>
      </w:pPr>
    </w:p>
    <w:p w14:paraId="76D4D373" w14:textId="6C3C607D" w:rsidR="00D450D1" w:rsidRPr="00DF3A6F" w:rsidRDefault="00A43F9C" w:rsidP="005538B7">
      <w:pPr>
        <w:rPr>
          <w:rFonts w:asciiTheme="minorHAnsi" w:hAnsiTheme="minorHAnsi" w:cstheme="minorHAnsi"/>
          <w:bCs/>
        </w:rPr>
      </w:pPr>
      <w:r w:rsidRPr="00DF3A6F">
        <w:rPr>
          <w:rFonts w:asciiTheme="minorHAnsi" w:hAnsiTheme="minorHAnsi" w:cstheme="minorHAnsi"/>
          <w:b/>
          <w:bCs/>
        </w:rPr>
        <w:t>All</w:t>
      </w:r>
      <w:r w:rsidR="00833AC5" w:rsidRPr="00DF3A6F">
        <w:rPr>
          <w:rFonts w:asciiTheme="minorHAnsi" w:hAnsiTheme="minorHAnsi" w:cstheme="minorHAnsi"/>
          <w:b/>
          <w:bCs/>
        </w:rPr>
        <w:t xml:space="preserve"> question</w:t>
      </w:r>
      <w:r w:rsidRPr="00DF3A6F">
        <w:rPr>
          <w:rFonts w:asciiTheme="minorHAnsi" w:hAnsiTheme="minorHAnsi" w:cstheme="minorHAnsi"/>
          <w:b/>
          <w:bCs/>
        </w:rPr>
        <w:t>s</w:t>
      </w:r>
      <w:r w:rsidR="00833AC5" w:rsidRPr="00DF3A6F">
        <w:rPr>
          <w:rFonts w:asciiTheme="minorHAnsi" w:hAnsiTheme="minorHAnsi" w:cstheme="minorHAnsi"/>
          <w:bCs/>
        </w:rPr>
        <w:t xml:space="preserve"> on the brokerage application must be answered</w:t>
      </w:r>
      <w:r w:rsidR="00DF3A6F" w:rsidRPr="00DF3A6F">
        <w:rPr>
          <w:rFonts w:asciiTheme="minorHAnsi" w:hAnsiTheme="minorHAnsi" w:cstheme="minorHAnsi"/>
          <w:bCs/>
        </w:rPr>
        <w:t>- incomplete forms will be returned.</w:t>
      </w:r>
    </w:p>
    <w:p w14:paraId="03976E1C" w14:textId="74876137" w:rsidR="00833AC5" w:rsidRPr="00DF3A6F" w:rsidRDefault="00833AC5" w:rsidP="005538B7">
      <w:pPr>
        <w:rPr>
          <w:rFonts w:asciiTheme="minorHAnsi" w:hAnsiTheme="minorHAnsi" w:cstheme="minorHAnsi"/>
          <w:b/>
          <w:sz w:val="22"/>
          <w:szCs w:val="22"/>
        </w:rPr>
      </w:pPr>
    </w:p>
    <w:p w14:paraId="4AA3FC86" w14:textId="5B93FC3F" w:rsidR="00833AC5" w:rsidRPr="00DF3A6F" w:rsidRDefault="00833AC5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F3A6F">
        <w:rPr>
          <w:rFonts w:asciiTheme="minorHAnsi" w:hAnsiTheme="minorHAnsi" w:cstheme="minorHAnsi"/>
          <w:b/>
          <w:bCs/>
        </w:rPr>
        <w:t>Direct bank deposits</w:t>
      </w:r>
      <w:r w:rsidRPr="00DF3A6F">
        <w:rPr>
          <w:rFonts w:asciiTheme="minorHAnsi" w:hAnsiTheme="minorHAnsi" w:cstheme="minorHAnsi"/>
          <w:bCs/>
        </w:rPr>
        <w:t xml:space="preserve"> are the preferred method of payment, so an appropriate reference is required to identify the student.</w:t>
      </w:r>
    </w:p>
    <w:p w14:paraId="5740E184" w14:textId="653986DA" w:rsidR="00833AC5" w:rsidRPr="00DF3A6F" w:rsidRDefault="00833AC5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4D4E207" w14:textId="6DAF3B9F" w:rsidR="00A43F9C" w:rsidRPr="00DF3A6F" w:rsidRDefault="00A43F9C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F3A6F">
        <w:rPr>
          <w:rFonts w:asciiTheme="minorHAnsi" w:hAnsiTheme="minorHAnsi" w:cstheme="minorHAnsi"/>
          <w:b/>
          <w:bCs/>
        </w:rPr>
        <w:t>Late booklists</w:t>
      </w:r>
      <w:r w:rsidRPr="00DF3A6F">
        <w:rPr>
          <w:rFonts w:asciiTheme="minorHAnsi" w:hAnsiTheme="minorHAnsi" w:cstheme="minorHAnsi"/>
          <w:bCs/>
        </w:rPr>
        <w:t xml:space="preserve"> or other school items are often no longer available from the store or school</w:t>
      </w:r>
      <w:r w:rsidR="009A7152">
        <w:rPr>
          <w:rFonts w:asciiTheme="minorHAnsi" w:hAnsiTheme="minorHAnsi" w:cstheme="minorHAnsi"/>
          <w:bCs/>
        </w:rPr>
        <w:t xml:space="preserve">- </w:t>
      </w:r>
      <w:r w:rsidRPr="00DF3A6F">
        <w:rPr>
          <w:rFonts w:asciiTheme="minorHAnsi" w:hAnsiTheme="minorHAnsi" w:cstheme="minorHAnsi"/>
          <w:bCs/>
        </w:rPr>
        <w:t>check with the provider to find out if process for payment and collection ha</w:t>
      </w:r>
      <w:r w:rsidR="009A7152">
        <w:rPr>
          <w:rFonts w:asciiTheme="minorHAnsi" w:hAnsiTheme="minorHAnsi" w:cstheme="minorHAnsi"/>
          <w:bCs/>
        </w:rPr>
        <w:t>ve</w:t>
      </w:r>
      <w:r w:rsidRPr="00DF3A6F">
        <w:rPr>
          <w:rFonts w:asciiTheme="minorHAnsi" w:hAnsiTheme="minorHAnsi" w:cstheme="minorHAnsi"/>
          <w:bCs/>
        </w:rPr>
        <w:t xml:space="preserve"> changed.  </w:t>
      </w:r>
    </w:p>
    <w:p w14:paraId="03A88A15" w14:textId="023D3B4F" w:rsidR="00A43F9C" w:rsidRPr="00DF3A6F" w:rsidRDefault="00A43F9C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 w:rsidRPr="00DF3A6F">
        <w:rPr>
          <w:rFonts w:asciiTheme="minorHAnsi" w:hAnsiTheme="minorHAnsi" w:cstheme="minorHAnsi"/>
          <w:bCs/>
        </w:rPr>
        <w:t>Eg</w:t>
      </w:r>
      <w:proofErr w:type="spellEnd"/>
      <w:r w:rsidR="005538B7">
        <w:rPr>
          <w:rFonts w:asciiTheme="minorHAnsi" w:hAnsiTheme="minorHAnsi" w:cstheme="minorHAnsi"/>
          <w:bCs/>
        </w:rPr>
        <w:t>:</w:t>
      </w:r>
      <w:r w:rsidRPr="00DF3A6F">
        <w:rPr>
          <w:rFonts w:asciiTheme="minorHAnsi" w:hAnsiTheme="minorHAnsi" w:cstheme="minorHAnsi"/>
          <w:bCs/>
        </w:rPr>
        <w:t xml:space="preserve"> items no longer delivered to schools may incur a delivery fee to a home address. </w:t>
      </w:r>
    </w:p>
    <w:p w14:paraId="0CD35854" w14:textId="77777777" w:rsidR="00A43F9C" w:rsidRPr="00DF3A6F" w:rsidRDefault="00A43F9C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CD36494" w14:textId="2165FEEB" w:rsidR="00A43F9C" w:rsidRPr="00DF3A6F" w:rsidRDefault="00A43F9C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F3A6F">
        <w:rPr>
          <w:rFonts w:asciiTheme="minorHAnsi" w:hAnsiTheme="minorHAnsi" w:cstheme="minorHAnsi"/>
          <w:b/>
          <w:bCs/>
        </w:rPr>
        <w:t>Early booklists</w:t>
      </w:r>
      <w:r w:rsidRPr="00DF3A6F">
        <w:rPr>
          <w:rFonts w:asciiTheme="minorHAnsi" w:hAnsiTheme="minorHAnsi" w:cstheme="minorHAnsi"/>
          <w:bCs/>
        </w:rPr>
        <w:t xml:space="preserve"> or other school items may not be available when schools are shut over holidays and orders will need to submitted just prior to the beginning of the school semester. </w:t>
      </w:r>
    </w:p>
    <w:p w14:paraId="14A6072C" w14:textId="37452C91" w:rsidR="00833AC5" w:rsidRPr="00DF3A6F" w:rsidRDefault="00833AC5" w:rsidP="005538B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352AE84" w14:textId="142E6A85" w:rsidR="00833AC5" w:rsidRPr="00DF3A6F" w:rsidRDefault="00F57665" w:rsidP="005538B7">
      <w:pPr>
        <w:rPr>
          <w:rFonts w:ascii="Calibri-Bold" w:hAnsi="Calibri-Bold" w:cs="Calibri-Bold"/>
          <w:bCs/>
        </w:rPr>
      </w:pPr>
      <w:r>
        <w:rPr>
          <w:rFonts w:asciiTheme="minorHAnsi" w:hAnsiTheme="minorHAnsi" w:cstheme="minorHAnsi"/>
          <w:b/>
        </w:rPr>
        <w:t xml:space="preserve">Funding limits </w:t>
      </w:r>
      <w:r>
        <w:rPr>
          <w:rFonts w:asciiTheme="minorHAnsi" w:hAnsiTheme="minorHAnsi" w:cstheme="minorHAnsi"/>
        </w:rPr>
        <w:t>mean</w:t>
      </w:r>
      <w:r w:rsidR="007A453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that some items are not covered in full</w:t>
      </w:r>
      <w:r w:rsidR="009A715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33AC5" w:rsidRPr="00DF3A6F">
        <w:rPr>
          <w:rFonts w:ascii="Calibri-Bold" w:hAnsi="Calibri-Bold" w:cs="Calibri-Bold"/>
          <w:bCs/>
        </w:rPr>
        <w:t>consider the ability of the family to pay</w:t>
      </w:r>
      <w:r>
        <w:rPr>
          <w:rFonts w:ascii="Calibri-Bold" w:hAnsi="Calibri-Bold" w:cs="Calibri-Bold"/>
          <w:bCs/>
        </w:rPr>
        <w:t xml:space="preserve"> </w:t>
      </w:r>
      <w:r w:rsidR="00833AC5" w:rsidRPr="00DF3A6F">
        <w:rPr>
          <w:rFonts w:ascii="Calibri-Bold" w:hAnsi="Calibri-Bold" w:cs="Calibri-Bold"/>
          <w:bCs/>
        </w:rPr>
        <w:t>the outstanding amount</w:t>
      </w:r>
      <w:r>
        <w:rPr>
          <w:rFonts w:ascii="Calibri-Bold" w:hAnsi="Calibri-Bold" w:cs="Calibri-Bold"/>
          <w:bCs/>
        </w:rPr>
        <w:t xml:space="preserve"> and assist with developing a </w:t>
      </w:r>
      <w:r w:rsidR="007A4539">
        <w:rPr>
          <w:rFonts w:ascii="Calibri-Bold" w:hAnsi="Calibri-Bold" w:cs="Calibri-Bold"/>
          <w:bCs/>
        </w:rPr>
        <w:t xml:space="preserve">manageable </w:t>
      </w:r>
      <w:r>
        <w:rPr>
          <w:rFonts w:ascii="Calibri-Bold" w:hAnsi="Calibri-Bold" w:cs="Calibri-Bold"/>
          <w:bCs/>
        </w:rPr>
        <w:t>payment plan</w:t>
      </w:r>
      <w:r w:rsidR="007A4539">
        <w:rPr>
          <w:rFonts w:ascii="Calibri-Bold" w:hAnsi="Calibri-Bold" w:cs="Calibri-Bold"/>
          <w:bCs/>
        </w:rPr>
        <w:t>.</w:t>
      </w:r>
    </w:p>
    <w:p w14:paraId="5F9DDB9E" w14:textId="77777777" w:rsidR="00D450D1" w:rsidRPr="00833AC5" w:rsidRDefault="00D450D1" w:rsidP="005538B7">
      <w:pPr>
        <w:rPr>
          <w:rFonts w:asciiTheme="minorHAnsi" w:hAnsiTheme="minorHAnsi" w:cstheme="minorHAnsi"/>
        </w:rPr>
      </w:pPr>
    </w:p>
    <w:p w14:paraId="5F16297D" w14:textId="77777777" w:rsidR="005538B7" w:rsidRDefault="00F57665" w:rsidP="005538B7">
      <w:pPr>
        <w:rPr>
          <w:rFonts w:asciiTheme="minorHAnsi" w:hAnsiTheme="minorHAnsi" w:cstheme="minorHAnsi"/>
        </w:rPr>
      </w:pPr>
      <w:r w:rsidRPr="00F57665">
        <w:rPr>
          <w:rFonts w:asciiTheme="minorHAnsi" w:hAnsiTheme="minorHAnsi" w:cstheme="minorHAnsi"/>
          <w:b/>
        </w:rPr>
        <w:t>Funding reimbursement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must be approved by LMHN staff, prior to applying for funds</w:t>
      </w:r>
      <w:r w:rsidR="005538B7">
        <w:rPr>
          <w:rFonts w:asciiTheme="minorHAnsi" w:hAnsiTheme="minorHAnsi" w:cstheme="minorHAnsi"/>
        </w:rPr>
        <w:t>.</w:t>
      </w:r>
    </w:p>
    <w:p w14:paraId="4472173A" w14:textId="77777777" w:rsidR="005538B7" w:rsidRDefault="005538B7" w:rsidP="005538B7">
      <w:pPr>
        <w:rPr>
          <w:rFonts w:asciiTheme="minorHAnsi" w:hAnsiTheme="minorHAnsi" w:cstheme="minorHAnsi"/>
        </w:rPr>
      </w:pPr>
    </w:p>
    <w:p w14:paraId="45FF2F90" w14:textId="032FAB27" w:rsidR="00D450D1" w:rsidRPr="00A85E5E" w:rsidRDefault="005538B7" w:rsidP="005538B7">
      <w:pPr>
        <w:rPr>
          <w:rFonts w:asciiTheme="minorHAnsi" w:hAnsiTheme="minorHAnsi" w:cstheme="minorHAnsi"/>
          <w:b/>
        </w:rPr>
      </w:pPr>
      <w:r w:rsidRPr="00A85E5E">
        <w:rPr>
          <w:rFonts w:asciiTheme="minorHAnsi" w:hAnsiTheme="minorHAnsi" w:cstheme="minorHAnsi"/>
          <w:b/>
        </w:rPr>
        <w:t>I</w:t>
      </w:r>
      <w:r w:rsidR="00F57665" w:rsidRPr="00A85E5E">
        <w:rPr>
          <w:rFonts w:asciiTheme="minorHAnsi" w:hAnsiTheme="minorHAnsi" w:cstheme="minorHAnsi"/>
          <w:b/>
        </w:rPr>
        <w:t xml:space="preserve">nvoices </w:t>
      </w:r>
      <w:r w:rsidRPr="00A85E5E">
        <w:rPr>
          <w:rFonts w:asciiTheme="minorHAnsi" w:hAnsiTheme="minorHAnsi" w:cstheme="minorHAnsi"/>
          <w:b/>
        </w:rPr>
        <w:t>that include</w:t>
      </w:r>
      <w:r w:rsidR="00F57665" w:rsidRPr="00A85E5E">
        <w:rPr>
          <w:rFonts w:asciiTheme="minorHAnsi" w:hAnsiTheme="minorHAnsi" w:cstheme="minorHAnsi"/>
          <w:b/>
        </w:rPr>
        <w:t xml:space="preserve"> </w:t>
      </w:r>
      <w:r w:rsidR="00C17C15" w:rsidRPr="00A85E5E">
        <w:rPr>
          <w:rFonts w:asciiTheme="minorHAnsi" w:hAnsiTheme="minorHAnsi" w:cstheme="minorHAnsi"/>
          <w:b/>
        </w:rPr>
        <w:t xml:space="preserve">the </w:t>
      </w:r>
      <w:r w:rsidR="00F57665" w:rsidRPr="00A85E5E">
        <w:rPr>
          <w:rFonts w:asciiTheme="minorHAnsi" w:hAnsiTheme="minorHAnsi" w:cstheme="minorHAnsi"/>
          <w:b/>
        </w:rPr>
        <w:t>child’s name</w:t>
      </w:r>
      <w:r w:rsidR="00A85E5E" w:rsidRPr="00A85E5E">
        <w:rPr>
          <w:rFonts w:asciiTheme="minorHAnsi" w:hAnsiTheme="minorHAnsi" w:cstheme="minorHAnsi"/>
          <w:b/>
        </w:rPr>
        <w:t>, ABN &amp; EFT details</w:t>
      </w:r>
      <w:r w:rsidR="00F57665" w:rsidRPr="00A85E5E">
        <w:rPr>
          <w:rFonts w:asciiTheme="minorHAnsi" w:hAnsiTheme="minorHAnsi" w:cstheme="minorHAnsi"/>
          <w:b/>
        </w:rPr>
        <w:t xml:space="preserve"> on them must be supplied.</w:t>
      </w:r>
    </w:p>
    <w:p w14:paraId="56432F38" w14:textId="6A7750A8" w:rsidR="007A4539" w:rsidRDefault="007A4539" w:rsidP="005538B7">
      <w:pPr>
        <w:rPr>
          <w:rFonts w:asciiTheme="minorHAnsi" w:hAnsiTheme="minorHAnsi" w:cstheme="minorHAnsi"/>
        </w:rPr>
      </w:pPr>
    </w:p>
    <w:p w14:paraId="3C9F15D1" w14:textId="77777777" w:rsidR="009A7152" w:rsidRDefault="007A4539" w:rsidP="005538B7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DF3A6F">
        <w:rPr>
          <w:rFonts w:ascii="Calibri-Bold" w:hAnsi="Calibri-Bold" w:cs="Calibri-Bold"/>
          <w:b/>
          <w:bCs/>
        </w:rPr>
        <w:t xml:space="preserve">Application </w:t>
      </w:r>
      <w:r w:rsidR="009A7152">
        <w:rPr>
          <w:rFonts w:ascii="Calibri-Bold" w:hAnsi="Calibri-Bold" w:cs="Calibri-Bold"/>
          <w:b/>
          <w:bCs/>
        </w:rPr>
        <w:t xml:space="preserve">approvals </w:t>
      </w:r>
      <w:r w:rsidR="009A7152" w:rsidRPr="009A7152">
        <w:rPr>
          <w:rFonts w:ascii="Calibri-Bold" w:hAnsi="Calibri-Bold" w:cs="Calibri-Bold"/>
          <w:bCs/>
        </w:rPr>
        <w:t>are</w:t>
      </w:r>
      <w:r w:rsidR="009A7152">
        <w:rPr>
          <w:rFonts w:ascii="Calibri-Bold" w:hAnsi="Calibri-Bold" w:cs="Calibri-Bold"/>
          <w:b/>
          <w:bCs/>
        </w:rPr>
        <w:t xml:space="preserve"> </w:t>
      </w:r>
      <w:r w:rsidRPr="00833AC5">
        <w:rPr>
          <w:rFonts w:ascii="Calibri-Bold" w:hAnsi="Calibri-Bold" w:cs="Calibri-Bold"/>
          <w:bCs/>
        </w:rPr>
        <w:t xml:space="preserve">sent </w:t>
      </w:r>
      <w:r w:rsidR="009A7152">
        <w:rPr>
          <w:rFonts w:ascii="Calibri-Bold" w:hAnsi="Calibri-Bold" w:cs="Calibri-Bold"/>
          <w:bCs/>
        </w:rPr>
        <w:t>via</w:t>
      </w:r>
      <w:r w:rsidRPr="00833AC5">
        <w:rPr>
          <w:rFonts w:ascii="Calibri-Bold" w:hAnsi="Calibri-Bold" w:cs="Calibri-Bold"/>
          <w:bCs/>
        </w:rPr>
        <w:t xml:space="preserve"> email</w:t>
      </w:r>
      <w:r w:rsidR="009A7152">
        <w:rPr>
          <w:rFonts w:ascii="Calibri-Bold" w:hAnsi="Calibri-Bold" w:cs="Calibri-Bold"/>
          <w:bCs/>
        </w:rPr>
        <w:t>.</w:t>
      </w:r>
      <w:r w:rsidRPr="00833AC5">
        <w:rPr>
          <w:rFonts w:ascii="Calibri-Bold" w:hAnsi="Calibri-Bold" w:cs="Calibri-Bold"/>
          <w:bCs/>
        </w:rPr>
        <w:t xml:space="preserve"> </w:t>
      </w:r>
    </w:p>
    <w:p w14:paraId="3F67C838" w14:textId="77777777" w:rsidR="009A7152" w:rsidRDefault="009A7152" w:rsidP="005538B7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04675B4E" w14:textId="12873F86" w:rsidR="007A4539" w:rsidRPr="00833AC5" w:rsidRDefault="009A7152" w:rsidP="005538B7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9A7152">
        <w:rPr>
          <w:rFonts w:ascii="Calibri-Bold" w:hAnsi="Calibri-Bold" w:cs="Calibri-Bold"/>
          <w:b/>
          <w:bCs/>
        </w:rPr>
        <w:t>Follow up</w:t>
      </w:r>
      <w:r>
        <w:rPr>
          <w:rFonts w:ascii="Calibri-Bold" w:hAnsi="Calibri-Bold" w:cs="Calibri-Bold"/>
          <w:bCs/>
        </w:rPr>
        <w:t xml:space="preserve"> by </w:t>
      </w:r>
      <w:r w:rsidR="007A4539" w:rsidRPr="00833AC5">
        <w:rPr>
          <w:rFonts w:ascii="Calibri-Bold" w:hAnsi="Calibri-Bold" w:cs="Calibri-Bold"/>
          <w:bCs/>
        </w:rPr>
        <w:t>check</w:t>
      </w:r>
      <w:r>
        <w:rPr>
          <w:rFonts w:ascii="Calibri-Bold" w:hAnsi="Calibri-Bold" w:cs="Calibri-Bold"/>
          <w:bCs/>
        </w:rPr>
        <w:t>ing</w:t>
      </w:r>
      <w:r w:rsidR="007A4539" w:rsidRPr="00833AC5">
        <w:rPr>
          <w:rFonts w:ascii="Calibri-Bold" w:hAnsi="Calibri-Bold" w:cs="Calibri-Bold"/>
          <w:bCs/>
        </w:rPr>
        <w:t xml:space="preserve"> with the institution</w:t>
      </w:r>
      <w:r>
        <w:rPr>
          <w:rFonts w:ascii="Calibri-Bold" w:hAnsi="Calibri-Bold" w:cs="Calibri-Bold"/>
          <w:bCs/>
        </w:rPr>
        <w:t>/business</w:t>
      </w:r>
      <w:r w:rsidR="007A4539" w:rsidRPr="00833AC5">
        <w:rPr>
          <w:rFonts w:ascii="Calibri-Bold" w:hAnsi="Calibri-Bold" w:cs="Calibri-Bold"/>
          <w:bCs/>
        </w:rPr>
        <w:t xml:space="preserve"> receiving payment </w:t>
      </w:r>
      <w:r>
        <w:rPr>
          <w:rFonts w:ascii="Calibri-Bold" w:hAnsi="Calibri-Bold" w:cs="Calibri-Bold"/>
          <w:bCs/>
        </w:rPr>
        <w:t>that</w:t>
      </w:r>
      <w:r w:rsidR="007A4539" w:rsidRPr="00833AC5">
        <w:rPr>
          <w:rFonts w:ascii="Calibri-Bold" w:hAnsi="Calibri-Bold" w:cs="Calibri-Bold"/>
          <w:bCs/>
        </w:rPr>
        <w:t xml:space="preserve"> the items are</w:t>
      </w:r>
      <w:r>
        <w:rPr>
          <w:rFonts w:ascii="Calibri-Bold" w:hAnsi="Calibri-Bold" w:cs="Calibri-Bold"/>
          <w:bCs/>
        </w:rPr>
        <w:t xml:space="preserve"> </w:t>
      </w:r>
      <w:r w:rsidR="007A4539" w:rsidRPr="00833AC5">
        <w:rPr>
          <w:rFonts w:ascii="Calibri-Bold" w:hAnsi="Calibri-Bold" w:cs="Calibri-Bold"/>
          <w:bCs/>
        </w:rPr>
        <w:t>ready for collection</w:t>
      </w:r>
      <w:r>
        <w:rPr>
          <w:rFonts w:ascii="Calibri-Bold" w:hAnsi="Calibri-Bold" w:cs="Calibri-Bold"/>
          <w:bCs/>
        </w:rPr>
        <w:t xml:space="preserve"> or have been provided.</w:t>
      </w:r>
    </w:p>
    <w:p w14:paraId="7E5E2AA6" w14:textId="3E93EC5E" w:rsidR="007A4539" w:rsidRDefault="007A4539" w:rsidP="005538B7">
      <w:pPr>
        <w:rPr>
          <w:rFonts w:asciiTheme="minorHAnsi" w:hAnsiTheme="minorHAnsi" w:cstheme="minorHAnsi"/>
        </w:rPr>
      </w:pPr>
    </w:p>
    <w:p w14:paraId="4BDFA9AA" w14:textId="5E7CBE97" w:rsidR="005A682E" w:rsidRDefault="005A682E" w:rsidP="005538B7">
      <w:pPr>
        <w:rPr>
          <w:rFonts w:asciiTheme="minorHAnsi" w:hAnsiTheme="minorHAnsi" w:cstheme="minorHAnsi"/>
        </w:rPr>
      </w:pPr>
    </w:p>
    <w:p w14:paraId="72A88CE8" w14:textId="762AC3CE" w:rsidR="005A682E" w:rsidRPr="00F57665" w:rsidRDefault="005A682E" w:rsidP="00553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should be emailed to </w:t>
      </w:r>
      <w:hyperlink r:id="rId12" w:history="1">
        <w:r w:rsidRPr="00FF04BD">
          <w:rPr>
            <w:rStyle w:val="Hyperlink"/>
            <w:rFonts w:asciiTheme="minorHAnsi" w:hAnsiTheme="minorHAnsi" w:cstheme="minorHAnsi"/>
          </w:rPr>
          <w:t>childrensresourceprogram@cnv.org.au</w:t>
        </w:r>
      </w:hyperlink>
      <w:r>
        <w:rPr>
          <w:rFonts w:asciiTheme="minorHAnsi" w:hAnsiTheme="minorHAnsi" w:cstheme="minorHAnsi"/>
        </w:rPr>
        <w:t xml:space="preserve"> </w:t>
      </w:r>
    </w:p>
    <w:sectPr w:rsidR="005A682E" w:rsidRPr="00F57665" w:rsidSect="005A682E">
      <w:type w:val="continuous"/>
      <w:pgSz w:w="11906" w:h="16838"/>
      <w:pgMar w:top="851" w:right="907" w:bottom="907" w:left="130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30CA" w14:textId="77777777" w:rsidR="009309E2" w:rsidRDefault="009309E2">
      <w:r>
        <w:separator/>
      </w:r>
    </w:p>
  </w:endnote>
  <w:endnote w:type="continuationSeparator" w:id="0">
    <w:p w14:paraId="6BFBA169" w14:textId="77777777" w:rsidR="009309E2" w:rsidRDefault="009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FF0000"/>
        <w:sz w:val="22"/>
        <w:szCs w:val="22"/>
      </w:rPr>
      <w:id w:val="210602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996E3" w14:textId="6053339F" w:rsidR="00D9318A" w:rsidRPr="000D478F" w:rsidRDefault="00D9318A">
            <w:pPr>
              <w:pStyle w:val="Footer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47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Page </w: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/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PAGE </w:instrTex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="00F40643" w:rsidRPr="000D478F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1</w: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  <w:r w:rsidRPr="000D47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of </w: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/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NUMPAGES  </w:instrTex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="00F40643" w:rsidRPr="000D478F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2</w:t>
            </w:r>
            <w:r w:rsidRPr="000D4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sdtContent>
      </w:sdt>
    </w:sdtContent>
  </w:sdt>
  <w:p w14:paraId="487FE3D7" w14:textId="77777777" w:rsidR="00D9318A" w:rsidRDefault="00D9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8B60" w14:textId="77777777" w:rsidR="009309E2" w:rsidRDefault="009309E2">
      <w:r>
        <w:separator/>
      </w:r>
    </w:p>
  </w:footnote>
  <w:footnote w:type="continuationSeparator" w:id="0">
    <w:p w14:paraId="26ED75B1" w14:textId="77777777" w:rsidR="009309E2" w:rsidRDefault="0093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81F0" w14:textId="0B17BE02" w:rsidR="00F62400" w:rsidRPr="00683440" w:rsidRDefault="00303B23" w:rsidP="00303B23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B6F1D" wp14:editId="2A499936">
          <wp:simplePos x="0" y="0"/>
          <wp:positionH relativeFrom="column">
            <wp:posOffset>2334260</wp:posOffset>
          </wp:positionH>
          <wp:positionV relativeFrom="paragraph">
            <wp:posOffset>-522529</wp:posOffset>
          </wp:positionV>
          <wp:extent cx="1238250" cy="75621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422"/>
                  <a:stretch/>
                </pic:blipFill>
                <pic:spPr bwMode="auto">
                  <a:xfrm>
                    <a:off x="0" y="0"/>
                    <a:ext cx="1241367" cy="758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440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ED0"/>
    <w:multiLevelType w:val="hybridMultilevel"/>
    <w:tmpl w:val="7B12F67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7D9C"/>
    <w:multiLevelType w:val="hybridMultilevel"/>
    <w:tmpl w:val="37D42C4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D86"/>
    <w:multiLevelType w:val="hybridMultilevel"/>
    <w:tmpl w:val="B3CE7A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AC9"/>
    <w:multiLevelType w:val="hybridMultilevel"/>
    <w:tmpl w:val="17461D3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A17"/>
    <w:multiLevelType w:val="hybridMultilevel"/>
    <w:tmpl w:val="256028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3E77EE"/>
    <w:multiLevelType w:val="hybridMultilevel"/>
    <w:tmpl w:val="61C0A2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677FD"/>
    <w:multiLevelType w:val="hybridMultilevel"/>
    <w:tmpl w:val="09DA2AB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1BB"/>
    <w:multiLevelType w:val="hybridMultilevel"/>
    <w:tmpl w:val="34AE84F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0DE"/>
    <w:multiLevelType w:val="multilevel"/>
    <w:tmpl w:val="EF645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8DC"/>
    <w:multiLevelType w:val="hybridMultilevel"/>
    <w:tmpl w:val="7AEA059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6ABA"/>
    <w:multiLevelType w:val="hybridMultilevel"/>
    <w:tmpl w:val="56D6B55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4D77"/>
    <w:multiLevelType w:val="hybridMultilevel"/>
    <w:tmpl w:val="39549BA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7BAF"/>
    <w:multiLevelType w:val="hybridMultilevel"/>
    <w:tmpl w:val="613CADA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4CAE"/>
    <w:multiLevelType w:val="multilevel"/>
    <w:tmpl w:val="F0326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4346CB"/>
    <w:multiLevelType w:val="hybridMultilevel"/>
    <w:tmpl w:val="4A143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194B"/>
    <w:multiLevelType w:val="multilevel"/>
    <w:tmpl w:val="17461D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5E64"/>
    <w:multiLevelType w:val="hybridMultilevel"/>
    <w:tmpl w:val="C402F61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5996"/>
    <w:multiLevelType w:val="hybridMultilevel"/>
    <w:tmpl w:val="4F1E919C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0DC0"/>
    <w:multiLevelType w:val="multilevel"/>
    <w:tmpl w:val="C402F6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5BCC"/>
    <w:multiLevelType w:val="hybridMultilevel"/>
    <w:tmpl w:val="2BF021CC"/>
    <w:lvl w:ilvl="0" w:tplc="EB9ED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A57A69"/>
    <w:multiLevelType w:val="hybridMultilevel"/>
    <w:tmpl w:val="EF64551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F2B79"/>
    <w:multiLevelType w:val="multilevel"/>
    <w:tmpl w:val="4F1E91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1EE3"/>
    <w:multiLevelType w:val="hybridMultilevel"/>
    <w:tmpl w:val="1AE63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91E3D"/>
    <w:multiLevelType w:val="multilevel"/>
    <w:tmpl w:val="09DA2A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548E"/>
    <w:multiLevelType w:val="multilevel"/>
    <w:tmpl w:val="17461D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6571C"/>
    <w:multiLevelType w:val="hybridMultilevel"/>
    <w:tmpl w:val="3C40DA1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418B"/>
    <w:multiLevelType w:val="hybridMultilevel"/>
    <w:tmpl w:val="5F662F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5"/>
  </w:num>
  <w:num w:numId="5">
    <w:abstractNumId w:val="6"/>
  </w:num>
  <w:num w:numId="6">
    <w:abstractNumId w:val="16"/>
  </w:num>
  <w:num w:numId="7">
    <w:abstractNumId w:val="11"/>
  </w:num>
  <w:num w:numId="8">
    <w:abstractNumId w:val="23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26"/>
  </w:num>
  <w:num w:numId="14">
    <w:abstractNumId w:val="15"/>
  </w:num>
  <w:num w:numId="15">
    <w:abstractNumId w:val="2"/>
  </w:num>
  <w:num w:numId="16">
    <w:abstractNumId w:val="24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20"/>
  </w:num>
  <w:num w:numId="22">
    <w:abstractNumId w:val="8"/>
  </w:num>
  <w:num w:numId="23">
    <w:abstractNumId w:val="4"/>
  </w:num>
  <w:num w:numId="24">
    <w:abstractNumId w:val="19"/>
  </w:num>
  <w:num w:numId="25">
    <w:abstractNumId w:val="1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2C"/>
    <w:rsid w:val="000070F8"/>
    <w:rsid w:val="00022AC2"/>
    <w:rsid w:val="00027619"/>
    <w:rsid w:val="00047C2F"/>
    <w:rsid w:val="00082BF8"/>
    <w:rsid w:val="000B1432"/>
    <w:rsid w:val="000C00B7"/>
    <w:rsid w:val="000D478F"/>
    <w:rsid w:val="00107B80"/>
    <w:rsid w:val="00131019"/>
    <w:rsid w:val="00132C18"/>
    <w:rsid w:val="001545EC"/>
    <w:rsid w:val="00191147"/>
    <w:rsid w:val="001C0FA0"/>
    <w:rsid w:val="001F2003"/>
    <w:rsid w:val="002B126D"/>
    <w:rsid w:val="002B6804"/>
    <w:rsid w:val="002D0CBA"/>
    <w:rsid w:val="002F28F7"/>
    <w:rsid w:val="00303B23"/>
    <w:rsid w:val="003434F3"/>
    <w:rsid w:val="003542C3"/>
    <w:rsid w:val="0036479E"/>
    <w:rsid w:val="00383A0E"/>
    <w:rsid w:val="003B2310"/>
    <w:rsid w:val="003B7A8A"/>
    <w:rsid w:val="003C1F30"/>
    <w:rsid w:val="003F55C9"/>
    <w:rsid w:val="00412C71"/>
    <w:rsid w:val="00436360"/>
    <w:rsid w:val="0045025E"/>
    <w:rsid w:val="00451BEB"/>
    <w:rsid w:val="004531A6"/>
    <w:rsid w:val="004617C7"/>
    <w:rsid w:val="004A2DC5"/>
    <w:rsid w:val="004E511C"/>
    <w:rsid w:val="005029B5"/>
    <w:rsid w:val="00516B74"/>
    <w:rsid w:val="00524ACE"/>
    <w:rsid w:val="0054385F"/>
    <w:rsid w:val="005538B7"/>
    <w:rsid w:val="0055541C"/>
    <w:rsid w:val="00561B06"/>
    <w:rsid w:val="005A516D"/>
    <w:rsid w:val="005A682E"/>
    <w:rsid w:val="005C62F6"/>
    <w:rsid w:val="005E19B2"/>
    <w:rsid w:val="0060626D"/>
    <w:rsid w:val="00610DD2"/>
    <w:rsid w:val="00636688"/>
    <w:rsid w:val="00667870"/>
    <w:rsid w:val="00683440"/>
    <w:rsid w:val="006F1AF2"/>
    <w:rsid w:val="007237C1"/>
    <w:rsid w:val="0072583B"/>
    <w:rsid w:val="00757DEC"/>
    <w:rsid w:val="00783399"/>
    <w:rsid w:val="00783F4A"/>
    <w:rsid w:val="007A4539"/>
    <w:rsid w:val="007A6AF2"/>
    <w:rsid w:val="007F7D9D"/>
    <w:rsid w:val="0080753C"/>
    <w:rsid w:val="00812D24"/>
    <w:rsid w:val="0081480E"/>
    <w:rsid w:val="008239F6"/>
    <w:rsid w:val="00833AC5"/>
    <w:rsid w:val="00842667"/>
    <w:rsid w:val="00847350"/>
    <w:rsid w:val="0085534D"/>
    <w:rsid w:val="00867D1C"/>
    <w:rsid w:val="00905B90"/>
    <w:rsid w:val="009309E2"/>
    <w:rsid w:val="00961A41"/>
    <w:rsid w:val="009A7152"/>
    <w:rsid w:val="009D7072"/>
    <w:rsid w:val="009E6D3F"/>
    <w:rsid w:val="00A23D62"/>
    <w:rsid w:val="00A43F9C"/>
    <w:rsid w:val="00A53C6D"/>
    <w:rsid w:val="00A6092C"/>
    <w:rsid w:val="00A61F9B"/>
    <w:rsid w:val="00A66683"/>
    <w:rsid w:val="00A750C8"/>
    <w:rsid w:val="00A85E5E"/>
    <w:rsid w:val="00A93CC3"/>
    <w:rsid w:val="00AC1686"/>
    <w:rsid w:val="00AD0A05"/>
    <w:rsid w:val="00AE2AE9"/>
    <w:rsid w:val="00B22CEB"/>
    <w:rsid w:val="00B23971"/>
    <w:rsid w:val="00B552B6"/>
    <w:rsid w:val="00B80668"/>
    <w:rsid w:val="00BA213B"/>
    <w:rsid w:val="00BA45FB"/>
    <w:rsid w:val="00BD5E5C"/>
    <w:rsid w:val="00BE6AC8"/>
    <w:rsid w:val="00C17C15"/>
    <w:rsid w:val="00C529FF"/>
    <w:rsid w:val="00C5735B"/>
    <w:rsid w:val="00C609C3"/>
    <w:rsid w:val="00C928F0"/>
    <w:rsid w:val="00CA6E5F"/>
    <w:rsid w:val="00CE0BE9"/>
    <w:rsid w:val="00D450D1"/>
    <w:rsid w:val="00D52DD4"/>
    <w:rsid w:val="00D53B5F"/>
    <w:rsid w:val="00D65114"/>
    <w:rsid w:val="00D909BF"/>
    <w:rsid w:val="00D9318A"/>
    <w:rsid w:val="00DF3A6F"/>
    <w:rsid w:val="00E32F37"/>
    <w:rsid w:val="00E34059"/>
    <w:rsid w:val="00E62097"/>
    <w:rsid w:val="00E631C9"/>
    <w:rsid w:val="00E74E55"/>
    <w:rsid w:val="00E95A28"/>
    <w:rsid w:val="00EC0872"/>
    <w:rsid w:val="00EC4197"/>
    <w:rsid w:val="00ED1A5C"/>
    <w:rsid w:val="00F05EED"/>
    <w:rsid w:val="00F40643"/>
    <w:rsid w:val="00F57665"/>
    <w:rsid w:val="00F62400"/>
    <w:rsid w:val="00F704A3"/>
    <w:rsid w:val="00FB0FDB"/>
    <w:rsid w:val="00FB1F63"/>
    <w:rsid w:val="00FB4B59"/>
    <w:rsid w:val="00FD1753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DE8DADD"/>
  <w15:docId w15:val="{900F2251-EEAF-4AC8-8526-FD9810F8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9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0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A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0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AF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D2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rensresourceprogram@cnv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ma.net.au/childrens-resources/fund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ma.net.au/childrens-resources/fund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49F4-8B07-411F-A88C-F2CE43E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Re-imbursement of funding support:</vt:lpstr>
    </vt:vector>
  </TitlesOfParts>
  <Company>EASE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Re-imbursement of funding support:</dc:title>
  <dc:subject/>
  <dc:creator>EASE</dc:creator>
  <cp:keywords/>
  <dc:description/>
  <cp:lastModifiedBy>Joanne Mangion</cp:lastModifiedBy>
  <cp:revision>2</cp:revision>
  <cp:lastPrinted>2018-11-11T23:07:00Z</cp:lastPrinted>
  <dcterms:created xsi:type="dcterms:W3CDTF">2020-06-01T04:59:00Z</dcterms:created>
  <dcterms:modified xsi:type="dcterms:W3CDTF">2020-06-01T04:59:00Z</dcterms:modified>
</cp:coreProperties>
</file>