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27B" w:rsidRPr="0085027B" w:rsidRDefault="0085027B" w:rsidP="0085027B">
      <w:pPr>
        <w:pStyle w:val="Heading1"/>
        <w:rPr>
          <w:color w:val="002060"/>
        </w:rPr>
      </w:pPr>
      <w:r w:rsidRPr="0085027B">
        <w:rPr>
          <w:color w:val="002060"/>
        </w:rPr>
        <w:t xml:space="preserve">Target Group </w:t>
      </w:r>
    </w:p>
    <w:p w:rsidR="0085027B" w:rsidRDefault="0085027B" w:rsidP="0085027B">
      <w:pPr>
        <w:tabs>
          <w:tab w:val="left" w:pos="1140"/>
        </w:tabs>
        <w:spacing w:after="0" w:line="360" w:lineRule="auto"/>
        <w:contextualSpacing/>
        <w:rPr>
          <w:sz w:val="24"/>
          <w:szCs w:val="24"/>
        </w:rPr>
      </w:pPr>
      <w:r w:rsidRPr="0085027B">
        <w:rPr>
          <w:sz w:val="24"/>
          <w:szCs w:val="24"/>
        </w:rPr>
        <w:t>15 – 25 year olds who are homeless or at risk of homelessness and who are  supported by either youth specific or cross target SAAP and  THM services (including refuges).</w:t>
      </w:r>
      <w:r>
        <w:rPr>
          <w:sz w:val="24"/>
          <w:szCs w:val="24"/>
        </w:rPr>
        <w:t xml:space="preserve"> </w:t>
      </w:r>
      <w:r w:rsidRPr="0085027B">
        <w:rPr>
          <w:sz w:val="24"/>
          <w:szCs w:val="24"/>
        </w:rPr>
        <w:t>CEEP funding applications are capped</w:t>
      </w:r>
      <w:r>
        <w:rPr>
          <w:sz w:val="24"/>
          <w:szCs w:val="24"/>
        </w:rPr>
        <w:t xml:space="preserve"> at $1200 per individual and can only be applied for once in a 12 month period</w:t>
      </w:r>
      <w:r w:rsidRPr="0085027B">
        <w:rPr>
          <w:sz w:val="24"/>
          <w:szCs w:val="24"/>
        </w:rPr>
        <w:t>.</w:t>
      </w:r>
    </w:p>
    <w:p w:rsidR="0085027B" w:rsidRPr="0085027B" w:rsidRDefault="0085027B" w:rsidP="0085027B">
      <w:pPr>
        <w:tabs>
          <w:tab w:val="left" w:pos="1140"/>
        </w:tabs>
        <w:spacing w:after="0" w:line="360" w:lineRule="auto"/>
        <w:contextualSpacing/>
        <w:rPr>
          <w:sz w:val="24"/>
          <w:szCs w:val="24"/>
        </w:rPr>
      </w:pPr>
    </w:p>
    <w:p w:rsidR="0085027B" w:rsidRPr="0085027B" w:rsidRDefault="0085027B" w:rsidP="0085027B">
      <w:pPr>
        <w:pStyle w:val="Heading1"/>
        <w:spacing w:before="0" w:line="360" w:lineRule="auto"/>
        <w:rPr>
          <w:color w:val="002060"/>
        </w:rPr>
      </w:pPr>
      <w:r w:rsidRPr="0085027B">
        <w:rPr>
          <w:color w:val="002060"/>
        </w:rPr>
        <w:t>Aim of the Service</w:t>
      </w:r>
      <w:bookmarkStart w:id="0" w:name="_GoBack"/>
      <w:bookmarkEnd w:id="0"/>
    </w:p>
    <w:p w:rsidR="0085027B" w:rsidRDefault="0085027B" w:rsidP="0085027B">
      <w:pPr>
        <w:tabs>
          <w:tab w:val="left" w:pos="1140"/>
        </w:tabs>
        <w:spacing w:after="0" w:line="360" w:lineRule="auto"/>
        <w:contextualSpacing/>
        <w:rPr>
          <w:rFonts w:cs="Arial"/>
          <w:sz w:val="24"/>
          <w:szCs w:val="24"/>
        </w:rPr>
      </w:pPr>
      <w:r w:rsidRPr="0085027B">
        <w:rPr>
          <w:rFonts w:cs="Arial"/>
          <w:sz w:val="24"/>
          <w:szCs w:val="24"/>
        </w:rPr>
        <w:t>The brokerage funding aims to assist and support young people who are homeless or at-risk of homelessness, to engage and sustain EET pathways</w:t>
      </w:r>
      <w:r>
        <w:rPr>
          <w:rFonts w:cs="Arial"/>
          <w:sz w:val="24"/>
          <w:szCs w:val="24"/>
        </w:rPr>
        <w:t>.</w:t>
      </w:r>
    </w:p>
    <w:p w:rsidR="0085027B" w:rsidRPr="0085027B" w:rsidRDefault="0085027B" w:rsidP="0085027B">
      <w:pPr>
        <w:tabs>
          <w:tab w:val="left" w:pos="1140"/>
        </w:tabs>
        <w:spacing w:after="0" w:line="360" w:lineRule="auto"/>
        <w:contextualSpacing/>
        <w:rPr>
          <w:rFonts w:cs="Arial"/>
          <w:sz w:val="24"/>
          <w:szCs w:val="24"/>
        </w:rPr>
      </w:pPr>
    </w:p>
    <w:p w:rsidR="0085027B" w:rsidRPr="0085027B" w:rsidRDefault="0085027B" w:rsidP="0085027B">
      <w:pPr>
        <w:pStyle w:val="Heading1"/>
        <w:spacing w:before="0" w:line="360" w:lineRule="auto"/>
        <w:rPr>
          <w:color w:val="002060"/>
        </w:rPr>
      </w:pPr>
      <w:r w:rsidRPr="0085027B">
        <w:rPr>
          <w:color w:val="002060"/>
        </w:rPr>
        <w:t>Objectives</w:t>
      </w:r>
    </w:p>
    <w:p w:rsidR="0085027B" w:rsidRPr="0085027B" w:rsidRDefault="0085027B" w:rsidP="0085027B">
      <w:pPr>
        <w:tabs>
          <w:tab w:val="left" w:pos="1140"/>
        </w:tabs>
        <w:spacing w:after="0" w:line="360" w:lineRule="auto"/>
        <w:contextualSpacing/>
        <w:rPr>
          <w:sz w:val="24"/>
          <w:szCs w:val="24"/>
        </w:rPr>
      </w:pPr>
      <w:r w:rsidRPr="0085027B">
        <w:rPr>
          <w:sz w:val="24"/>
          <w:szCs w:val="24"/>
        </w:rPr>
        <w:t>The key objectives of CEEP brokerage are to:</w:t>
      </w:r>
    </w:p>
    <w:p w:rsidR="0085027B" w:rsidRPr="0085027B" w:rsidRDefault="0085027B" w:rsidP="0085027B">
      <w:pPr>
        <w:tabs>
          <w:tab w:val="left" w:pos="1140"/>
        </w:tabs>
        <w:spacing w:after="0" w:line="360" w:lineRule="auto"/>
        <w:contextualSpacing/>
        <w:rPr>
          <w:sz w:val="24"/>
          <w:szCs w:val="24"/>
        </w:rPr>
      </w:pPr>
      <w:r>
        <w:rPr>
          <w:sz w:val="24"/>
          <w:szCs w:val="24"/>
        </w:rPr>
        <w:t xml:space="preserve">• </w:t>
      </w:r>
      <w:r w:rsidRPr="0085027B">
        <w:rPr>
          <w:sz w:val="24"/>
          <w:szCs w:val="24"/>
        </w:rPr>
        <w:t>enable young homeless people to participate in EET;</w:t>
      </w:r>
    </w:p>
    <w:p w:rsidR="0085027B" w:rsidRPr="0085027B" w:rsidRDefault="0085027B" w:rsidP="0085027B">
      <w:pPr>
        <w:tabs>
          <w:tab w:val="left" w:pos="1140"/>
        </w:tabs>
        <w:spacing w:after="0" w:line="360" w:lineRule="auto"/>
        <w:contextualSpacing/>
        <w:rPr>
          <w:sz w:val="24"/>
          <w:szCs w:val="24"/>
        </w:rPr>
      </w:pPr>
      <w:r>
        <w:rPr>
          <w:sz w:val="24"/>
          <w:szCs w:val="24"/>
        </w:rPr>
        <w:t xml:space="preserve">• </w:t>
      </w:r>
      <w:r w:rsidRPr="0085027B">
        <w:rPr>
          <w:sz w:val="24"/>
          <w:szCs w:val="24"/>
        </w:rPr>
        <w:t>sustain and /or re-engage the young person in EET;</w:t>
      </w:r>
    </w:p>
    <w:p w:rsidR="0085027B" w:rsidRPr="0085027B" w:rsidRDefault="0085027B" w:rsidP="0085027B">
      <w:pPr>
        <w:tabs>
          <w:tab w:val="left" w:pos="1140"/>
        </w:tabs>
        <w:spacing w:after="0" w:line="360" w:lineRule="auto"/>
        <w:contextualSpacing/>
        <w:rPr>
          <w:sz w:val="24"/>
          <w:szCs w:val="24"/>
        </w:rPr>
      </w:pPr>
      <w:r>
        <w:rPr>
          <w:sz w:val="24"/>
          <w:szCs w:val="24"/>
        </w:rPr>
        <w:t xml:space="preserve">• </w:t>
      </w:r>
      <w:r w:rsidRPr="0085027B">
        <w:rPr>
          <w:sz w:val="24"/>
          <w:szCs w:val="24"/>
        </w:rPr>
        <w:t>develop a sustainable pathway out of homelessness through improved integration of education and employment goals in homelessness programs; and</w:t>
      </w:r>
    </w:p>
    <w:p w:rsidR="0085027B" w:rsidRPr="0085027B" w:rsidRDefault="0085027B" w:rsidP="0085027B">
      <w:pPr>
        <w:tabs>
          <w:tab w:val="left" w:pos="1140"/>
        </w:tabs>
        <w:spacing w:after="0" w:line="360" w:lineRule="auto"/>
        <w:contextualSpacing/>
        <w:rPr>
          <w:sz w:val="24"/>
          <w:szCs w:val="24"/>
        </w:rPr>
      </w:pPr>
      <w:r>
        <w:rPr>
          <w:sz w:val="24"/>
          <w:szCs w:val="24"/>
        </w:rPr>
        <w:t xml:space="preserve">• </w:t>
      </w:r>
      <w:proofErr w:type="gramStart"/>
      <w:r w:rsidRPr="0085027B">
        <w:rPr>
          <w:sz w:val="24"/>
          <w:szCs w:val="24"/>
        </w:rPr>
        <w:t>support</w:t>
      </w:r>
      <w:proofErr w:type="gramEnd"/>
      <w:r w:rsidRPr="0085027B">
        <w:rPr>
          <w:sz w:val="24"/>
          <w:szCs w:val="24"/>
        </w:rPr>
        <w:t xml:space="preserve"> and assistance to secure and sustain stable housing.</w:t>
      </w:r>
    </w:p>
    <w:p w:rsidR="0085027B" w:rsidRPr="0085027B" w:rsidRDefault="0085027B" w:rsidP="0085027B">
      <w:pPr>
        <w:tabs>
          <w:tab w:val="left" w:pos="1140"/>
        </w:tabs>
        <w:spacing w:after="0" w:line="360" w:lineRule="auto"/>
        <w:contextualSpacing/>
        <w:rPr>
          <w:sz w:val="24"/>
          <w:szCs w:val="24"/>
        </w:rPr>
      </w:pPr>
    </w:p>
    <w:p w:rsidR="0085027B" w:rsidRDefault="0085027B" w:rsidP="0085027B">
      <w:pPr>
        <w:tabs>
          <w:tab w:val="left" w:pos="1140"/>
        </w:tabs>
        <w:spacing w:after="0" w:line="360" w:lineRule="auto"/>
        <w:contextualSpacing/>
        <w:rPr>
          <w:i/>
          <w:szCs w:val="22"/>
        </w:rPr>
      </w:pPr>
      <w:r w:rsidRPr="0085027B">
        <w:rPr>
          <w:sz w:val="24"/>
          <w:szCs w:val="24"/>
        </w:rPr>
        <w:t xml:space="preserve">Please note: </w:t>
      </w:r>
      <w:r w:rsidRPr="0085027B">
        <w:rPr>
          <w:i/>
          <w:szCs w:val="22"/>
        </w:rPr>
        <w:t>It is important for the key worker to make an effective assessment on the “readiness” of a young person to engage in EET options. Workers are advised to look at factors such as the young person’s stability, realistic goal setting, commitment and other factors that influence a young person’s capacity to participate. A sound and integrated case</w:t>
      </w:r>
      <w:r>
        <w:rPr>
          <w:i/>
          <w:szCs w:val="22"/>
        </w:rPr>
        <w:t xml:space="preserve"> </w:t>
      </w:r>
      <w:r w:rsidRPr="0085027B">
        <w:rPr>
          <w:i/>
          <w:szCs w:val="22"/>
        </w:rPr>
        <w:t>plan should be integral to the process of applying for brokerage on behalf of a young person.</w:t>
      </w:r>
    </w:p>
    <w:p w:rsidR="0085027B" w:rsidRPr="0085027B" w:rsidRDefault="0085027B" w:rsidP="0085027B">
      <w:pPr>
        <w:tabs>
          <w:tab w:val="left" w:pos="1140"/>
        </w:tabs>
        <w:spacing w:after="0" w:line="360" w:lineRule="auto"/>
        <w:contextualSpacing/>
        <w:rPr>
          <w:sz w:val="24"/>
          <w:szCs w:val="24"/>
        </w:rPr>
      </w:pPr>
    </w:p>
    <w:p w:rsidR="0085027B" w:rsidRPr="0085027B" w:rsidRDefault="0085027B" w:rsidP="0085027B">
      <w:pPr>
        <w:pStyle w:val="Heading1"/>
        <w:spacing w:before="0" w:line="360" w:lineRule="auto"/>
        <w:rPr>
          <w:color w:val="002060"/>
        </w:rPr>
      </w:pPr>
      <w:r w:rsidRPr="0085027B">
        <w:rPr>
          <w:color w:val="002060"/>
        </w:rPr>
        <w:t>Eligibility Criteria</w:t>
      </w:r>
    </w:p>
    <w:p w:rsidR="0085027B" w:rsidRPr="0085027B" w:rsidRDefault="0085027B" w:rsidP="0085027B">
      <w:pPr>
        <w:spacing w:after="0" w:line="360" w:lineRule="auto"/>
        <w:jc w:val="both"/>
        <w:rPr>
          <w:rFonts w:cs="Arial"/>
          <w:sz w:val="24"/>
          <w:szCs w:val="24"/>
        </w:rPr>
      </w:pPr>
      <w:r w:rsidRPr="0085027B">
        <w:rPr>
          <w:rFonts w:cs="Arial"/>
          <w:sz w:val="24"/>
          <w:szCs w:val="24"/>
        </w:rPr>
        <w:t>CEEP can only be accessed by young people who are:</w:t>
      </w:r>
    </w:p>
    <w:p w:rsidR="0085027B" w:rsidRPr="0085027B" w:rsidRDefault="0085027B" w:rsidP="0085027B">
      <w:pPr>
        <w:numPr>
          <w:ilvl w:val="0"/>
          <w:numId w:val="7"/>
        </w:numPr>
        <w:tabs>
          <w:tab w:val="clear" w:pos="1080"/>
          <w:tab w:val="num" w:pos="360"/>
        </w:tabs>
        <w:spacing w:after="0" w:line="360" w:lineRule="auto"/>
        <w:ind w:left="360"/>
        <w:jc w:val="both"/>
        <w:rPr>
          <w:rFonts w:cs="Arial"/>
          <w:sz w:val="24"/>
          <w:szCs w:val="24"/>
        </w:rPr>
      </w:pPr>
      <w:r w:rsidRPr="0085027B">
        <w:rPr>
          <w:rFonts w:cs="Arial"/>
          <w:sz w:val="24"/>
          <w:szCs w:val="24"/>
        </w:rPr>
        <w:t>15-25 years old;</w:t>
      </w:r>
    </w:p>
    <w:p w:rsidR="0085027B" w:rsidRPr="0085027B" w:rsidRDefault="0085027B" w:rsidP="0085027B">
      <w:pPr>
        <w:numPr>
          <w:ilvl w:val="0"/>
          <w:numId w:val="7"/>
        </w:numPr>
        <w:tabs>
          <w:tab w:val="clear" w:pos="1080"/>
          <w:tab w:val="num" w:pos="360"/>
        </w:tabs>
        <w:spacing w:after="0" w:line="360" w:lineRule="auto"/>
        <w:ind w:left="360"/>
        <w:jc w:val="both"/>
        <w:rPr>
          <w:rFonts w:cs="Arial"/>
          <w:sz w:val="24"/>
          <w:szCs w:val="24"/>
        </w:rPr>
      </w:pPr>
      <w:r w:rsidRPr="0085027B">
        <w:rPr>
          <w:rFonts w:cs="Arial"/>
          <w:sz w:val="24"/>
          <w:szCs w:val="24"/>
        </w:rPr>
        <w:t>homeless, or at risk of homelessness;</w:t>
      </w:r>
    </w:p>
    <w:p w:rsidR="0085027B" w:rsidRPr="0085027B" w:rsidRDefault="0085027B" w:rsidP="0085027B">
      <w:pPr>
        <w:numPr>
          <w:ilvl w:val="0"/>
          <w:numId w:val="7"/>
        </w:numPr>
        <w:tabs>
          <w:tab w:val="clear" w:pos="1080"/>
          <w:tab w:val="num" w:pos="360"/>
        </w:tabs>
        <w:spacing w:after="0" w:line="360" w:lineRule="auto"/>
        <w:ind w:left="360"/>
        <w:jc w:val="both"/>
        <w:rPr>
          <w:rFonts w:cs="Arial"/>
          <w:sz w:val="24"/>
          <w:szCs w:val="24"/>
        </w:rPr>
      </w:pPr>
      <w:r w:rsidRPr="0085027B">
        <w:rPr>
          <w:rFonts w:cs="Arial"/>
          <w:sz w:val="24"/>
          <w:szCs w:val="24"/>
        </w:rPr>
        <w:t>engaged with homelessness assistance services;</w:t>
      </w:r>
    </w:p>
    <w:p w:rsidR="0085027B" w:rsidRPr="0085027B" w:rsidRDefault="0085027B" w:rsidP="0085027B">
      <w:pPr>
        <w:numPr>
          <w:ilvl w:val="0"/>
          <w:numId w:val="7"/>
        </w:numPr>
        <w:tabs>
          <w:tab w:val="clear" w:pos="1080"/>
          <w:tab w:val="num" w:pos="360"/>
        </w:tabs>
        <w:spacing w:after="0" w:line="360" w:lineRule="auto"/>
        <w:ind w:left="360"/>
        <w:jc w:val="both"/>
        <w:rPr>
          <w:rFonts w:cs="Arial"/>
          <w:sz w:val="24"/>
          <w:szCs w:val="24"/>
        </w:rPr>
      </w:pPr>
      <w:r w:rsidRPr="0085027B">
        <w:rPr>
          <w:rFonts w:cs="Arial"/>
          <w:sz w:val="24"/>
          <w:szCs w:val="24"/>
        </w:rPr>
        <w:t>not in sustainable employment;</w:t>
      </w:r>
    </w:p>
    <w:p w:rsidR="0085027B" w:rsidRPr="0085027B" w:rsidRDefault="0085027B" w:rsidP="0085027B">
      <w:pPr>
        <w:numPr>
          <w:ilvl w:val="0"/>
          <w:numId w:val="7"/>
        </w:numPr>
        <w:tabs>
          <w:tab w:val="clear" w:pos="1080"/>
          <w:tab w:val="num" w:pos="360"/>
        </w:tabs>
        <w:spacing w:after="0" w:line="360" w:lineRule="auto"/>
        <w:ind w:left="360"/>
        <w:jc w:val="both"/>
        <w:rPr>
          <w:rFonts w:cs="Arial"/>
          <w:sz w:val="24"/>
          <w:szCs w:val="24"/>
        </w:rPr>
      </w:pPr>
      <w:proofErr w:type="gramStart"/>
      <w:r w:rsidRPr="0085027B">
        <w:rPr>
          <w:rFonts w:cs="Arial"/>
          <w:sz w:val="24"/>
          <w:szCs w:val="24"/>
        </w:rPr>
        <w:t>experiencing</w:t>
      </w:r>
      <w:proofErr w:type="gramEnd"/>
      <w:r w:rsidRPr="0085027B">
        <w:rPr>
          <w:rFonts w:cs="Arial"/>
          <w:sz w:val="24"/>
          <w:szCs w:val="24"/>
        </w:rPr>
        <w:t xml:space="preserve"> long term difficulties in maintaining stable accommodation and overcoming barriers to participation in EET.</w:t>
      </w:r>
    </w:p>
    <w:p w:rsidR="0085027B" w:rsidRPr="0085027B" w:rsidRDefault="0085027B" w:rsidP="0085027B">
      <w:pPr>
        <w:pStyle w:val="Heading1"/>
        <w:spacing w:before="0" w:line="360" w:lineRule="auto"/>
        <w:rPr>
          <w:color w:val="002060"/>
        </w:rPr>
      </w:pPr>
      <w:r w:rsidRPr="0085027B">
        <w:rPr>
          <w:color w:val="002060"/>
        </w:rPr>
        <w:lastRenderedPageBreak/>
        <w:t>Use of Brokerage</w:t>
      </w:r>
    </w:p>
    <w:p w:rsidR="0085027B" w:rsidRDefault="0085027B" w:rsidP="0085027B">
      <w:pPr>
        <w:spacing w:after="0" w:line="360" w:lineRule="auto"/>
        <w:rPr>
          <w:sz w:val="24"/>
          <w:szCs w:val="24"/>
        </w:rPr>
      </w:pPr>
      <w:r w:rsidRPr="0085027B">
        <w:rPr>
          <w:sz w:val="24"/>
          <w:szCs w:val="24"/>
        </w:rPr>
        <w:t>Brokerage funding is to be used for goods and/or services directly related to the EE</w:t>
      </w:r>
      <w:r w:rsidRPr="0085027B">
        <w:rPr>
          <w:sz w:val="24"/>
          <w:szCs w:val="24"/>
        </w:rPr>
        <w:t xml:space="preserve">T pathway of the young person. </w:t>
      </w:r>
      <w:r w:rsidRPr="0085027B">
        <w:rPr>
          <w:sz w:val="24"/>
          <w:szCs w:val="24"/>
        </w:rPr>
        <w:t xml:space="preserve">CEEP funding is intended to support young people to develop and sustain pathways into EET. Whilst it is recognised that young people need a range of support with material items such as general household goods, this funding source is not to be used for this purpose. Only material items directly related to the young </w:t>
      </w:r>
      <w:r w:rsidRPr="0085027B">
        <w:rPr>
          <w:sz w:val="24"/>
          <w:szCs w:val="24"/>
        </w:rPr>
        <w:t>person’s</w:t>
      </w:r>
      <w:r w:rsidRPr="0085027B">
        <w:rPr>
          <w:sz w:val="24"/>
          <w:szCs w:val="24"/>
        </w:rPr>
        <w:t xml:space="preserve"> EET pathway will</w:t>
      </w:r>
      <w:r w:rsidRPr="0085027B">
        <w:rPr>
          <w:sz w:val="24"/>
          <w:szCs w:val="24"/>
        </w:rPr>
        <w:t xml:space="preserve"> be approved (</w:t>
      </w:r>
      <w:proofErr w:type="spellStart"/>
      <w:r w:rsidRPr="0085027B">
        <w:rPr>
          <w:sz w:val="24"/>
          <w:szCs w:val="24"/>
        </w:rPr>
        <w:t>eg</w:t>
      </w:r>
      <w:proofErr w:type="spellEnd"/>
      <w:r w:rsidRPr="0085027B">
        <w:rPr>
          <w:sz w:val="24"/>
          <w:szCs w:val="24"/>
        </w:rPr>
        <w:t>. desk; chair).</w:t>
      </w:r>
      <w:r>
        <w:rPr>
          <w:sz w:val="24"/>
          <w:szCs w:val="24"/>
        </w:rPr>
        <w:t xml:space="preserve"> </w:t>
      </w:r>
      <w:r w:rsidRPr="0085027B">
        <w:rPr>
          <w:sz w:val="24"/>
          <w:szCs w:val="24"/>
        </w:rPr>
        <w:t>CEEP funding applications are capped</w:t>
      </w:r>
      <w:r>
        <w:rPr>
          <w:sz w:val="24"/>
          <w:szCs w:val="24"/>
        </w:rPr>
        <w:t>, w</w:t>
      </w:r>
      <w:r w:rsidRPr="0085027B">
        <w:rPr>
          <w:sz w:val="24"/>
          <w:szCs w:val="24"/>
        </w:rPr>
        <w:t>here additional funds are required to form an EET package of assistance for a young person services will need to demonstrate ho</w:t>
      </w:r>
      <w:r w:rsidRPr="0085027B">
        <w:rPr>
          <w:sz w:val="24"/>
          <w:szCs w:val="24"/>
        </w:rPr>
        <w:t xml:space="preserve">w they will access such funds. </w:t>
      </w:r>
    </w:p>
    <w:p w:rsidR="0085027B" w:rsidRPr="0085027B" w:rsidRDefault="0085027B" w:rsidP="0085027B">
      <w:pPr>
        <w:spacing w:after="0" w:line="360" w:lineRule="auto"/>
        <w:rPr>
          <w:sz w:val="24"/>
          <w:szCs w:val="24"/>
        </w:rPr>
      </w:pPr>
    </w:p>
    <w:p w:rsidR="0085027B" w:rsidRPr="0085027B" w:rsidRDefault="0085027B" w:rsidP="0085027B">
      <w:pPr>
        <w:spacing w:after="0" w:line="360" w:lineRule="auto"/>
        <w:rPr>
          <w:b/>
          <w:i/>
          <w:sz w:val="24"/>
          <w:szCs w:val="24"/>
        </w:rPr>
      </w:pPr>
      <w:r w:rsidRPr="0085027B">
        <w:rPr>
          <w:b/>
          <w:i/>
          <w:sz w:val="24"/>
          <w:szCs w:val="24"/>
        </w:rPr>
        <w:t>CEEP funding cannot be used for the following items:</w:t>
      </w:r>
    </w:p>
    <w:p w:rsidR="0085027B" w:rsidRPr="0085027B" w:rsidRDefault="0085027B" w:rsidP="0085027B">
      <w:pPr>
        <w:spacing w:after="0" w:line="360" w:lineRule="auto"/>
        <w:rPr>
          <w:sz w:val="24"/>
          <w:szCs w:val="24"/>
        </w:rPr>
      </w:pPr>
      <w:r>
        <w:rPr>
          <w:sz w:val="24"/>
          <w:szCs w:val="24"/>
        </w:rPr>
        <w:t xml:space="preserve">• </w:t>
      </w:r>
      <w:proofErr w:type="gramStart"/>
      <w:r w:rsidRPr="0085027B">
        <w:rPr>
          <w:sz w:val="24"/>
          <w:szCs w:val="24"/>
        </w:rPr>
        <w:t>goods/services</w:t>
      </w:r>
      <w:proofErr w:type="gramEnd"/>
      <w:r w:rsidRPr="0085027B">
        <w:rPr>
          <w:sz w:val="24"/>
          <w:szCs w:val="24"/>
        </w:rPr>
        <w:t xml:space="preserve"> that can be accessed through alternatives sources;</w:t>
      </w:r>
    </w:p>
    <w:p w:rsidR="0085027B" w:rsidRPr="0085027B" w:rsidRDefault="0085027B" w:rsidP="0085027B">
      <w:pPr>
        <w:spacing w:after="0" w:line="360" w:lineRule="auto"/>
        <w:rPr>
          <w:sz w:val="24"/>
          <w:szCs w:val="24"/>
        </w:rPr>
      </w:pPr>
      <w:r>
        <w:rPr>
          <w:sz w:val="24"/>
          <w:szCs w:val="24"/>
        </w:rPr>
        <w:t xml:space="preserve">• </w:t>
      </w:r>
      <w:proofErr w:type="gramStart"/>
      <w:r w:rsidRPr="0085027B">
        <w:rPr>
          <w:sz w:val="24"/>
          <w:szCs w:val="24"/>
        </w:rPr>
        <w:t>assistance</w:t>
      </w:r>
      <w:proofErr w:type="gramEnd"/>
      <w:r w:rsidRPr="0085027B">
        <w:rPr>
          <w:sz w:val="24"/>
          <w:szCs w:val="24"/>
        </w:rPr>
        <w:t xml:space="preserve"> that can be provided through the Housing Establishment Fund (</w:t>
      </w:r>
      <w:proofErr w:type="spellStart"/>
      <w:r w:rsidRPr="0085027B">
        <w:rPr>
          <w:sz w:val="24"/>
          <w:szCs w:val="24"/>
        </w:rPr>
        <w:t>eg</w:t>
      </w:r>
      <w:proofErr w:type="spellEnd"/>
      <w:r w:rsidRPr="0085027B">
        <w:rPr>
          <w:sz w:val="24"/>
          <w:szCs w:val="24"/>
        </w:rPr>
        <w:t>. rent in advance, rent arrears and emergency accommodation)</w:t>
      </w:r>
    </w:p>
    <w:p w:rsidR="0085027B" w:rsidRPr="0085027B" w:rsidRDefault="0085027B" w:rsidP="0085027B">
      <w:pPr>
        <w:spacing w:after="0" w:line="360" w:lineRule="auto"/>
        <w:rPr>
          <w:sz w:val="24"/>
          <w:szCs w:val="24"/>
        </w:rPr>
      </w:pPr>
      <w:r>
        <w:rPr>
          <w:sz w:val="24"/>
          <w:szCs w:val="24"/>
        </w:rPr>
        <w:t xml:space="preserve">• </w:t>
      </w:r>
      <w:proofErr w:type="gramStart"/>
      <w:r w:rsidRPr="0085027B">
        <w:rPr>
          <w:sz w:val="24"/>
          <w:szCs w:val="24"/>
        </w:rPr>
        <w:t>agency</w:t>
      </w:r>
      <w:proofErr w:type="gramEnd"/>
      <w:r w:rsidRPr="0085027B">
        <w:rPr>
          <w:sz w:val="24"/>
          <w:szCs w:val="24"/>
        </w:rPr>
        <w:t xml:space="preserve"> infrastructure (</w:t>
      </w:r>
      <w:proofErr w:type="spellStart"/>
      <w:r w:rsidRPr="0085027B">
        <w:rPr>
          <w:sz w:val="24"/>
          <w:szCs w:val="24"/>
        </w:rPr>
        <w:t>eg</w:t>
      </w:r>
      <w:proofErr w:type="spellEnd"/>
      <w:r w:rsidRPr="0085027B">
        <w:rPr>
          <w:sz w:val="24"/>
          <w:szCs w:val="24"/>
        </w:rPr>
        <w:t>. computers, office equipment etc. or capital items);</w:t>
      </w:r>
    </w:p>
    <w:p w:rsidR="0085027B" w:rsidRPr="0085027B" w:rsidRDefault="0085027B" w:rsidP="0085027B">
      <w:pPr>
        <w:spacing w:after="0" w:line="360" w:lineRule="auto"/>
        <w:rPr>
          <w:sz w:val="24"/>
          <w:szCs w:val="24"/>
        </w:rPr>
      </w:pPr>
      <w:r>
        <w:rPr>
          <w:sz w:val="24"/>
          <w:szCs w:val="24"/>
        </w:rPr>
        <w:t xml:space="preserve">• </w:t>
      </w:r>
      <w:proofErr w:type="gramStart"/>
      <w:r w:rsidRPr="0085027B">
        <w:rPr>
          <w:sz w:val="24"/>
          <w:szCs w:val="24"/>
        </w:rPr>
        <w:t>general</w:t>
      </w:r>
      <w:proofErr w:type="gramEnd"/>
      <w:r w:rsidRPr="0085027B">
        <w:rPr>
          <w:sz w:val="24"/>
          <w:szCs w:val="24"/>
        </w:rPr>
        <w:t xml:space="preserve"> household furniture;</w:t>
      </w:r>
    </w:p>
    <w:p w:rsidR="0085027B" w:rsidRPr="0085027B" w:rsidRDefault="0085027B" w:rsidP="0085027B">
      <w:pPr>
        <w:spacing w:after="0" w:line="360" w:lineRule="auto"/>
        <w:rPr>
          <w:sz w:val="24"/>
          <w:szCs w:val="24"/>
        </w:rPr>
      </w:pPr>
      <w:r>
        <w:rPr>
          <w:sz w:val="24"/>
          <w:szCs w:val="24"/>
        </w:rPr>
        <w:t xml:space="preserve">• </w:t>
      </w:r>
      <w:proofErr w:type="gramStart"/>
      <w:r w:rsidRPr="0085027B">
        <w:rPr>
          <w:sz w:val="24"/>
          <w:szCs w:val="24"/>
        </w:rPr>
        <w:t>mobile</w:t>
      </w:r>
      <w:proofErr w:type="gramEnd"/>
      <w:r w:rsidRPr="0085027B">
        <w:rPr>
          <w:sz w:val="24"/>
          <w:szCs w:val="24"/>
        </w:rPr>
        <w:t xml:space="preserve"> phones-funding can be used only on items that are sustainable and not likely to impact negatively on a young </w:t>
      </w:r>
      <w:proofErr w:type="spellStart"/>
      <w:r w:rsidRPr="0085027B">
        <w:rPr>
          <w:sz w:val="24"/>
          <w:szCs w:val="24"/>
        </w:rPr>
        <w:t>persons</w:t>
      </w:r>
      <w:proofErr w:type="spellEnd"/>
      <w:r w:rsidRPr="0085027B">
        <w:rPr>
          <w:sz w:val="24"/>
          <w:szCs w:val="24"/>
        </w:rPr>
        <w:t xml:space="preserve"> financial situation over time;</w:t>
      </w:r>
    </w:p>
    <w:p w:rsidR="0085027B" w:rsidRPr="0085027B" w:rsidRDefault="0085027B" w:rsidP="0085027B">
      <w:pPr>
        <w:spacing w:after="0" w:line="360" w:lineRule="auto"/>
        <w:rPr>
          <w:sz w:val="24"/>
          <w:szCs w:val="24"/>
        </w:rPr>
      </w:pPr>
      <w:r>
        <w:rPr>
          <w:sz w:val="24"/>
          <w:szCs w:val="24"/>
        </w:rPr>
        <w:t xml:space="preserve">• </w:t>
      </w:r>
      <w:proofErr w:type="gramStart"/>
      <w:r w:rsidRPr="0085027B">
        <w:rPr>
          <w:sz w:val="24"/>
          <w:szCs w:val="24"/>
        </w:rPr>
        <w:t>to</w:t>
      </w:r>
      <w:proofErr w:type="gramEnd"/>
      <w:r w:rsidRPr="0085027B">
        <w:rPr>
          <w:sz w:val="24"/>
          <w:szCs w:val="24"/>
        </w:rPr>
        <w:t xml:space="preserve"> pay a young person’s outstanding debt (utility bills, fines) which are</w:t>
      </w:r>
      <w:r w:rsidRPr="0085027B">
        <w:rPr>
          <w:sz w:val="24"/>
          <w:szCs w:val="24"/>
        </w:rPr>
        <w:t xml:space="preserve"> not related to their EET plan;</w:t>
      </w:r>
    </w:p>
    <w:p w:rsidR="0085027B" w:rsidRPr="0085027B" w:rsidRDefault="0085027B" w:rsidP="0085027B">
      <w:pPr>
        <w:spacing w:after="0" w:line="360" w:lineRule="auto"/>
        <w:rPr>
          <w:sz w:val="24"/>
          <w:szCs w:val="24"/>
        </w:rPr>
      </w:pPr>
      <w:r>
        <w:rPr>
          <w:sz w:val="24"/>
          <w:szCs w:val="24"/>
        </w:rPr>
        <w:t xml:space="preserve">• </w:t>
      </w:r>
      <w:proofErr w:type="gramStart"/>
      <w:r w:rsidRPr="0085027B">
        <w:rPr>
          <w:sz w:val="24"/>
          <w:szCs w:val="24"/>
        </w:rPr>
        <w:t>as</w:t>
      </w:r>
      <w:proofErr w:type="gramEnd"/>
      <w:r w:rsidRPr="0085027B">
        <w:rPr>
          <w:sz w:val="24"/>
          <w:szCs w:val="24"/>
        </w:rPr>
        <w:t xml:space="preserve"> additional funding for staffing and/or program infrastructure of the applying agency;</w:t>
      </w:r>
    </w:p>
    <w:p w:rsidR="0085027B" w:rsidRPr="0085027B" w:rsidRDefault="0085027B" w:rsidP="0085027B">
      <w:pPr>
        <w:spacing w:after="0" w:line="360" w:lineRule="auto"/>
        <w:rPr>
          <w:sz w:val="24"/>
          <w:szCs w:val="24"/>
        </w:rPr>
      </w:pPr>
      <w:r>
        <w:rPr>
          <w:sz w:val="24"/>
          <w:szCs w:val="24"/>
        </w:rPr>
        <w:t xml:space="preserve">• </w:t>
      </w:r>
      <w:proofErr w:type="gramStart"/>
      <w:r w:rsidRPr="0085027B">
        <w:rPr>
          <w:sz w:val="24"/>
          <w:szCs w:val="24"/>
        </w:rPr>
        <w:t>for</w:t>
      </w:r>
      <w:proofErr w:type="gramEnd"/>
      <w:r w:rsidRPr="0085027B">
        <w:rPr>
          <w:sz w:val="24"/>
          <w:szCs w:val="24"/>
        </w:rPr>
        <w:t xml:space="preserve"> large personal outlays that do not directly relate to effective participation in EET;</w:t>
      </w:r>
    </w:p>
    <w:p w:rsidR="0085027B" w:rsidRPr="0085027B" w:rsidRDefault="0085027B" w:rsidP="0085027B">
      <w:pPr>
        <w:spacing w:after="0" w:line="360" w:lineRule="auto"/>
        <w:rPr>
          <w:sz w:val="24"/>
          <w:szCs w:val="24"/>
        </w:rPr>
      </w:pPr>
      <w:r>
        <w:rPr>
          <w:sz w:val="24"/>
          <w:szCs w:val="24"/>
        </w:rPr>
        <w:t xml:space="preserve">• </w:t>
      </w:r>
      <w:proofErr w:type="gramStart"/>
      <w:r w:rsidRPr="0085027B">
        <w:rPr>
          <w:sz w:val="24"/>
          <w:szCs w:val="24"/>
        </w:rPr>
        <w:t>items</w:t>
      </w:r>
      <w:proofErr w:type="gramEnd"/>
      <w:r w:rsidRPr="0085027B">
        <w:rPr>
          <w:sz w:val="24"/>
          <w:szCs w:val="24"/>
        </w:rPr>
        <w:t xml:space="preserve"> that requires ongoing funding to sustain (</w:t>
      </w:r>
      <w:proofErr w:type="spellStart"/>
      <w:r w:rsidRPr="0085027B">
        <w:rPr>
          <w:sz w:val="24"/>
          <w:szCs w:val="24"/>
        </w:rPr>
        <w:t>eg</w:t>
      </w:r>
      <w:proofErr w:type="spellEnd"/>
      <w:r w:rsidRPr="0085027B">
        <w:rPr>
          <w:sz w:val="24"/>
          <w:szCs w:val="24"/>
        </w:rPr>
        <w:t>. a car). Evidence of how this item will be sustained must appear in the application. The CEEP panel reserves the right to ask further questions in relation to the sustainability of this item, and to not approve an item they believe may create debt for the young person;</w:t>
      </w:r>
    </w:p>
    <w:p w:rsidR="0085027B" w:rsidRPr="0085027B" w:rsidRDefault="0085027B" w:rsidP="0085027B">
      <w:pPr>
        <w:spacing w:after="0" w:line="360" w:lineRule="auto"/>
        <w:rPr>
          <w:sz w:val="24"/>
          <w:szCs w:val="24"/>
        </w:rPr>
      </w:pPr>
      <w:r>
        <w:rPr>
          <w:sz w:val="24"/>
          <w:szCs w:val="24"/>
        </w:rPr>
        <w:t xml:space="preserve">• </w:t>
      </w:r>
      <w:proofErr w:type="gramStart"/>
      <w:r w:rsidRPr="0085027B">
        <w:rPr>
          <w:sz w:val="24"/>
          <w:szCs w:val="24"/>
        </w:rPr>
        <w:t>food</w:t>
      </w:r>
      <w:proofErr w:type="gramEnd"/>
      <w:r w:rsidRPr="0085027B">
        <w:rPr>
          <w:sz w:val="24"/>
          <w:szCs w:val="24"/>
        </w:rPr>
        <w:t xml:space="preserve"> vouchers or equivalent</w:t>
      </w:r>
    </w:p>
    <w:p w:rsidR="0085027B" w:rsidRPr="0085027B" w:rsidRDefault="0085027B" w:rsidP="0085027B">
      <w:pPr>
        <w:spacing w:after="0" w:line="360" w:lineRule="auto"/>
        <w:rPr>
          <w:sz w:val="24"/>
          <w:szCs w:val="24"/>
        </w:rPr>
      </w:pPr>
      <w:r>
        <w:rPr>
          <w:sz w:val="24"/>
          <w:szCs w:val="24"/>
        </w:rPr>
        <w:t xml:space="preserve">• </w:t>
      </w:r>
      <w:proofErr w:type="gramStart"/>
      <w:r w:rsidRPr="0085027B">
        <w:rPr>
          <w:sz w:val="24"/>
          <w:szCs w:val="24"/>
        </w:rPr>
        <w:t>costs</w:t>
      </w:r>
      <w:proofErr w:type="gramEnd"/>
      <w:r w:rsidRPr="0085027B">
        <w:rPr>
          <w:sz w:val="24"/>
          <w:szCs w:val="24"/>
        </w:rPr>
        <w:t xml:space="preserve"> that are intended/should be covered by other Government Departments, </w:t>
      </w:r>
      <w:proofErr w:type="spellStart"/>
      <w:r w:rsidRPr="0085027B">
        <w:rPr>
          <w:sz w:val="24"/>
          <w:szCs w:val="24"/>
        </w:rPr>
        <w:t>eg</w:t>
      </w:r>
      <w:proofErr w:type="spellEnd"/>
      <w:r w:rsidRPr="0085027B">
        <w:rPr>
          <w:sz w:val="24"/>
          <w:szCs w:val="24"/>
        </w:rPr>
        <w:t>. Department of Education costs.</w:t>
      </w:r>
    </w:p>
    <w:p w:rsidR="0085027B" w:rsidRPr="0085027B" w:rsidRDefault="0085027B" w:rsidP="0085027B">
      <w:pPr>
        <w:spacing w:after="0" w:line="360" w:lineRule="auto"/>
      </w:pPr>
    </w:p>
    <w:sectPr w:rsidR="0085027B" w:rsidRPr="0085027B" w:rsidSect="00C82CCE">
      <w:headerReference w:type="default" r:id="rId8"/>
      <w:pgSz w:w="11906" w:h="16838" w:code="9"/>
      <w:pgMar w:top="851" w:right="851" w:bottom="851" w:left="851" w:header="754"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27B" w:rsidRDefault="0085027B" w:rsidP="006A11B9">
      <w:pPr>
        <w:spacing w:after="0" w:line="240" w:lineRule="auto"/>
      </w:pPr>
      <w:r>
        <w:separator/>
      </w:r>
    </w:p>
  </w:endnote>
  <w:endnote w:type="continuationSeparator" w:id="0">
    <w:p w:rsidR="0085027B" w:rsidRDefault="0085027B" w:rsidP="006A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27B" w:rsidRDefault="0085027B" w:rsidP="006A11B9">
      <w:pPr>
        <w:spacing w:after="0" w:line="240" w:lineRule="auto"/>
      </w:pPr>
      <w:r>
        <w:separator/>
      </w:r>
    </w:p>
  </w:footnote>
  <w:footnote w:type="continuationSeparator" w:id="0">
    <w:p w:rsidR="0085027B" w:rsidRDefault="0085027B" w:rsidP="006A1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27B" w:rsidRDefault="0085027B">
    <w:pPr>
      <w:pStyle w:val="Header"/>
    </w:pPr>
    <w:r>
      <w:rPr>
        <w:noProof/>
        <w:lang w:eastAsia="en-AU"/>
      </w:rPr>
      <mc:AlternateContent>
        <mc:Choice Requires="wps">
          <w:drawing>
            <wp:anchor distT="0" distB="0" distL="118745" distR="118745" simplePos="0" relativeHeight="251659264" behindDoc="1" locked="0" layoutInCell="1" allowOverlap="0">
              <wp:simplePos x="0" y="0"/>
              <wp:positionH relativeFrom="margin">
                <wp:align>left</wp:align>
              </wp:positionH>
              <mc:AlternateContent>
                <mc:Choice Requires="wp14">
                  <wp:positionV relativeFrom="page">
                    <wp14:pctPosVOffset>4500</wp14:pctPosVOffset>
                  </wp:positionV>
                </mc:Choice>
                <mc:Fallback>
                  <wp:positionV relativeFrom="page">
                    <wp:posOffset>480695</wp:posOffset>
                  </wp:positionV>
                </mc:Fallback>
              </mc:AlternateContent>
              <wp:extent cx="5949950" cy="450850"/>
              <wp:effectExtent l="0" t="0" r="0" b="6350"/>
              <wp:wrapSquare wrapText="bothSides"/>
              <wp:docPr id="197" name="Rectangle 197"/>
              <wp:cNvGraphicFramePr/>
              <a:graphic xmlns:a="http://schemas.openxmlformats.org/drawingml/2006/main">
                <a:graphicData uri="http://schemas.microsoft.com/office/word/2010/wordprocessingShape">
                  <wps:wsp>
                    <wps:cNvSpPr/>
                    <wps:spPr>
                      <a:xfrm>
                        <a:off x="0" y="0"/>
                        <a:ext cx="5949950" cy="45085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85027B" w:rsidRPr="0085027B" w:rsidRDefault="00C215CC" w:rsidP="0085027B">
                              <w:pPr>
                                <w:jc w:val="center"/>
                                <w:rPr>
                                  <w:sz w:val="36"/>
                                  <w:szCs w:val="36"/>
                                </w:rPr>
                              </w:pPr>
                              <w:r>
                                <w:rPr>
                                  <w:sz w:val="36"/>
                                  <w:szCs w:val="36"/>
                                </w:rPr>
                                <w:t>CEEP CRITERIA AND BROKERAGE INFORMATION</w:t>
                              </w:r>
                            </w:p>
                          </w:sdtContent>
                        </w:sdt>
                        <w:p w:rsidR="0085027B" w:rsidRDefault="0085027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id="Rectangle 197" o:spid="_x0000_s1026" style="position:absolute;margin-left:0;margin-top:0;width:468.5pt;height:35.5pt;z-index:-251657216;visibility:visible;mso-wrap-style:square;mso-width-percent:1000;mso-height-percent:0;mso-top-percent:45;mso-wrap-distance-left:9.35pt;mso-wrap-distance-top:0;mso-wrap-distance-right:9.35pt;mso-wrap-distance-bottom:0;mso-position-horizontal:left;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" o:allowoverlap="f" fillcolor="#002060" stroked="f" strokeweight="2pt">
              <v:textbox>
                <w:txbxContent>
                  <w:sdt>
                    <w:sdtPr>
                      <w:rPr>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85027B" w:rsidRPr="0085027B" w:rsidRDefault="00C215CC" w:rsidP="0085027B">
                        <w:pPr>
                          <w:jc w:val="center"/>
                          <w:rPr>
                            <w:sz w:val="36"/>
                            <w:szCs w:val="36"/>
                          </w:rPr>
                        </w:pPr>
                        <w:r>
                          <w:rPr>
                            <w:sz w:val="36"/>
                            <w:szCs w:val="36"/>
                          </w:rPr>
                          <w:t>CEEP CRITERIA AND BROKERAGE INFORMATION</w:t>
                        </w:r>
                      </w:p>
                    </w:sdtContent>
                  </w:sdt>
                  <w:p w:rsidR="0085027B" w:rsidRDefault="0085027B"/>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E8C"/>
    <w:multiLevelType w:val="hybridMultilevel"/>
    <w:tmpl w:val="EF005D40"/>
    <w:lvl w:ilvl="0" w:tplc="0772E38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C34ADB"/>
    <w:multiLevelType w:val="multilevel"/>
    <w:tmpl w:val="4224CD9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7B"/>
    <w:rsid w:val="00000B5E"/>
    <w:rsid w:val="00132B02"/>
    <w:rsid w:val="001F58F2"/>
    <w:rsid w:val="002A3B61"/>
    <w:rsid w:val="003C23C5"/>
    <w:rsid w:val="003D7BB9"/>
    <w:rsid w:val="00403DBB"/>
    <w:rsid w:val="00414ECB"/>
    <w:rsid w:val="0049694E"/>
    <w:rsid w:val="004D2818"/>
    <w:rsid w:val="00661EBB"/>
    <w:rsid w:val="00691DEE"/>
    <w:rsid w:val="006A11B9"/>
    <w:rsid w:val="00716F4D"/>
    <w:rsid w:val="0085027B"/>
    <w:rsid w:val="00884125"/>
    <w:rsid w:val="009623BD"/>
    <w:rsid w:val="009B4B16"/>
    <w:rsid w:val="00B441DA"/>
    <w:rsid w:val="00C215CC"/>
    <w:rsid w:val="00C82CCE"/>
    <w:rsid w:val="00D31956"/>
    <w:rsid w:val="00D565E7"/>
    <w:rsid w:val="00FC5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6D1BA3-BB3D-4248-A4C7-1D577E10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BD"/>
    <w:pPr>
      <w:spacing w:after="120" w:line="288" w:lineRule="auto"/>
    </w:pPr>
    <w:rPr>
      <w:sz w:val="22"/>
      <w:lang w:eastAsia="en-US"/>
    </w:rPr>
  </w:style>
  <w:style w:type="paragraph" w:styleId="Heading1">
    <w:name w:val="heading 1"/>
    <w:basedOn w:val="Normal"/>
    <w:next w:val="Normal"/>
    <w:link w:val="Heading1Char"/>
    <w:uiPriority w:val="9"/>
    <w:qFormat/>
    <w:rsid w:val="001F58F2"/>
    <w:pPr>
      <w:keepNext/>
      <w:keepLines/>
      <w:numPr>
        <w:numId w:val="6"/>
      </w:numPr>
      <w:spacing w:before="360" w:after="0"/>
      <w:outlineLvl w:val="0"/>
    </w:pPr>
    <w:rPr>
      <w:rFonts w:eastAsia="Times New Roman"/>
      <w:color w:val="6F60AA"/>
      <w:sz w:val="32"/>
      <w:szCs w:val="32"/>
    </w:rPr>
  </w:style>
  <w:style w:type="paragraph" w:styleId="Heading2">
    <w:name w:val="heading 2"/>
    <w:basedOn w:val="Normal"/>
    <w:next w:val="Normal"/>
    <w:link w:val="Heading2Char"/>
    <w:uiPriority w:val="9"/>
    <w:qFormat/>
    <w:rsid w:val="001F58F2"/>
    <w:pPr>
      <w:keepNext/>
      <w:keepLines/>
      <w:numPr>
        <w:ilvl w:val="1"/>
        <w:numId w:val="6"/>
      </w:numPr>
      <w:spacing w:before="240" w:after="0"/>
      <w:outlineLvl w:val="1"/>
    </w:pPr>
    <w:rPr>
      <w:rFonts w:eastAsia="Times New Roman"/>
      <w:color w:val="6F60AA"/>
      <w:sz w:val="26"/>
      <w:szCs w:val="26"/>
    </w:rPr>
  </w:style>
  <w:style w:type="paragraph" w:styleId="Heading3">
    <w:name w:val="heading 3"/>
    <w:basedOn w:val="Normal"/>
    <w:next w:val="Normal"/>
    <w:link w:val="Heading3Char"/>
    <w:uiPriority w:val="9"/>
    <w:qFormat/>
    <w:rsid w:val="001F58F2"/>
    <w:pPr>
      <w:keepNext/>
      <w:keepLines/>
      <w:numPr>
        <w:ilvl w:val="2"/>
        <w:numId w:val="6"/>
      </w:numPr>
      <w:spacing w:before="240" w:after="0"/>
      <w:outlineLvl w:val="2"/>
    </w:pPr>
    <w:rPr>
      <w:rFonts w:eastAsia="Times New Roman"/>
      <w:color w:val="6F60AA"/>
      <w:sz w:val="24"/>
      <w:szCs w:val="24"/>
    </w:rPr>
  </w:style>
  <w:style w:type="paragraph" w:styleId="Heading4">
    <w:name w:val="heading 4"/>
    <w:basedOn w:val="Normal"/>
    <w:next w:val="Normal"/>
    <w:link w:val="Heading4Char"/>
    <w:uiPriority w:val="9"/>
    <w:qFormat/>
    <w:rsid w:val="001F58F2"/>
    <w:pPr>
      <w:keepNext/>
      <w:keepLines/>
      <w:numPr>
        <w:ilvl w:val="3"/>
        <w:numId w:val="6"/>
      </w:numPr>
      <w:spacing w:before="120" w:after="0"/>
      <w:outlineLvl w:val="3"/>
    </w:pPr>
    <w:rPr>
      <w:rFonts w:eastAsia="Times New Roman"/>
      <w:iCs/>
      <w:color w:val="6F60AA"/>
    </w:rPr>
  </w:style>
  <w:style w:type="paragraph" w:styleId="Heading5">
    <w:name w:val="heading 5"/>
    <w:basedOn w:val="Normal"/>
    <w:next w:val="Normal"/>
    <w:link w:val="Heading5Char"/>
    <w:uiPriority w:val="9"/>
    <w:qFormat/>
    <w:rsid w:val="001F58F2"/>
    <w:pPr>
      <w:keepNext/>
      <w:keepLines/>
      <w:numPr>
        <w:ilvl w:val="4"/>
        <w:numId w:val="6"/>
      </w:numPr>
      <w:spacing w:before="120" w:after="0"/>
      <w:outlineLvl w:val="4"/>
    </w:pPr>
    <w:rPr>
      <w:rFonts w:eastAsia="Times New Roman"/>
      <w:color w:val="6F60AA"/>
    </w:rPr>
  </w:style>
  <w:style w:type="paragraph" w:styleId="Heading6">
    <w:name w:val="heading 6"/>
    <w:basedOn w:val="Normal"/>
    <w:next w:val="Normal"/>
    <w:link w:val="Heading6Char"/>
    <w:uiPriority w:val="9"/>
    <w:qFormat/>
    <w:rsid w:val="006A11B9"/>
    <w:pPr>
      <w:keepNext/>
      <w:keepLines/>
      <w:numPr>
        <w:ilvl w:val="5"/>
        <w:numId w:val="6"/>
      </w:numPr>
      <w:spacing w:before="60" w:after="0"/>
      <w:outlineLvl w:val="5"/>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quotestyle">
    <w:name w:val="Boxed quote style"/>
    <w:basedOn w:val="Normal"/>
    <w:uiPriority w:val="1"/>
    <w:qFormat/>
    <w:rsid w:val="001F58F2"/>
    <w:pPr>
      <w:pBdr>
        <w:top w:val="single" w:sz="4" w:space="10" w:color="E2DFEE"/>
        <w:bottom w:val="single" w:sz="4" w:space="10" w:color="E2DFEE"/>
      </w:pBdr>
      <w:shd w:val="clear" w:color="auto" w:fill="E2DFEE"/>
      <w:spacing w:before="360" w:after="360"/>
      <w:ind w:left="284" w:right="170"/>
    </w:pPr>
    <w:rPr>
      <w:iCs/>
      <w:color w:val="262626"/>
    </w:rPr>
  </w:style>
  <w:style w:type="paragraph" w:styleId="Caption">
    <w:name w:val="caption"/>
    <w:basedOn w:val="Normal"/>
    <w:next w:val="Normal"/>
    <w:uiPriority w:val="35"/>
    <w:semiHidden/>
    <w:qFormat/>
    <w:rsid w:val="006A11B9"/>
    <w:pPr>
      <w:keepNext/>
      <w:spacing w:before="360" w:after="200" w:line="240" w:lineRule="auto"/>
      <w:jc w:val="center"/>
    </w:pPr>
    <w:rPr>
      <w:iCs/>
      <w:color w:val="000000"/>
      <w:sz w:val="18"/>
      <w:szCs w:val="18"/>
    </w:rPr>
  </w:style>
  <w:style w:type="paragraph" w:styleId="Footer">
    <w:name w:val="footer"/>
    <w:basedOn w:val="Normal"/>
    <w:link w:val="FooterChar"/>
    <w:uiPriority w:val="99"/>
    <w:rsid w:val="006A11B9"/>
    <w:pPr>
      <w:tabs>
        <w:tab w:val="center" w:pos="4513"/>
        <w:tab w:val="right" w:pos="9026"/>
      </w:tabs>
      <w:spacing w:after="0"/>
    </w:pPr>
    <w:rPr>
      <w:color w:val="262626"/>
      <w:sz w:val="16"/>
    </w:rPr>
  </w:style>
  <w:style w:type="character" w:customStyle="1" w:styleId="FooterChar">
    <w:name w:val="Footer Char"/>
    <w:link w:val="Footer"/>
    <w:uiPriority w:val="99"/>
    <w:rsid w:val="006A11B9"/>
    <w:rPr>
      <w:color w:val="262626"/>
      <w:sz w:val="16"/>
    </w:rPr>
  </w:style>
  <w:style w:type="table" w:styleId="GridTable4-Accent1">
    <w:name w:val="Grid Table 4 Accent 1"/>
    <w:basedOn w:val="TableNormal"/>
    <w:uiPriority w:val="49"/>
    <w:rsid w:val="006A11B9"/>
    <w:tblPr>
      <w:tblStyleRowBandSize w:val="1"/>
      <w:tblStyleColBandSize w:val="1"/>
      <w:tblBorders>
        <w:top w:val="single" w:sz="4" w:space="0" w:color="A89FCC"/>
        <w:left w:val="single" w:sz="4" w:space="0" w:color="A89FCC"/>
        <w:bottom w:val="single" w:sz="4" w:space="0" w:color="A89FCC"/>
        <w:right w:val="single" w:sz="4" w:space="0" w:color="A89FCC"/>
        <w:insideH w:val="single" w:sz="4" w:space="0" w:color="A89FCC"/>
        <w:insideV w:val="single" w:sz="4" w:space="0" w:color="A89FCC"/>
      </w:tblBorders>
    </w:tblPr>
    <w:tblStylePr w:type="firstRow">
      <w:rPr>
        <w:b/>
        <w:bCs/>
        <w:color w:val="FFFFFF"/>
      </w:rPr>
      <w:tblPr/>
      <w:tcPr>
        <w:tcBorders>
          <w:top w:val="single" w:sz="4" w:space="0" w:color="6F60AA"/>
          <w:left w:val="single" w:sz="4" w:space="0" w:color="6F60AA"/>
          <w:bottom w:val="single" w:sz="4" w:space="0" w:color="6F60AA"/>
          <w:right w:val="single" w:sz="4" w:space="0" w:color="6F60AA"/>
          <w:insideH w:val="nil"/>
          <w:insideV w:val="nil"/>
        </w:tcBorders>
        <w:shd w:val="clear" w:color="auto" w:fill="6F60AA"/>
      </w:tcPr>
    </w:tblStylePr>
    <w:tblStylePr w:type="lastRow">
      <w:rPr>
        <w:b/>
        <w:bCs/>
      </w:rPr>
      <w:tblPr/>
      <w:tcPr>
        <w:tcBorders>
          <w:top w:val="double" w:sz="4" w:space="0" w:color="6F60AA"/>
        </w:tcBorders>
      </w:tcPr>
    </w:tblStylePr>
    <w:tblStylePr w:type="firstCol">
      <w:rPr>
        <w:b/>
        <w:bCs/>
      </w:rPr>
    </w:tblStylePr>
    <w:tblStylePr w:type="lastCol">
      <w:rPr>
        <w:b/>
        <w:bCs/>
      </w:rPr>
    </w:tblStylePr>
    <w:tblStylePr w:type="band1Vert">
      <w:tblPr/>
      <w:tcPr>
        <w:shd w:val="clear" w:color="auto" w:fill="E2DFEE"/>
      </w:tcPr>
    </w:tblStylePr>
    <w:tblStylePr w:type="band1Horz">
      <w:tblPr/>
      <w:tcPr>
        <w:shd w:val="clear" w:color="auto" w:fill="E2DFEE"/>
      </w:tcPr>
    </w:tblStylePr>
  </w:style>
  <w:style w:type="table" w:styleId="GridTable5Dark-Accent1">
    <w:name w:val="Grid Table 5 Dark Accent 1"/>
    <w:basedOn w:val="TableNormal"/>
    <w:uiPriority w:val="50"/>
    <w:rsid w:val="006A11B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DFE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F60A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F60A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F60A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F60AA"/>
      </w:tcPr>
    </w:tblStylePr>
    <w:tblStylePr w:type="band1Vert">
      <w:tblPr/>
      <w:tcPr>
        <w:shd w:val="clear" w:color="auto" w:fill="C5BFDD"/>
      </w:tcPr>
    </w:tblStylePr>
    <w:tblStylePr w:type="band1Horz">
      <w:tblPr/>
      <w:tcPr>
        <w:shd w:val="clear" w:color="auto" w:fill="C5BFDD"/>
      </w:tcPr>
    </w:tblStylePr>
  </w:style>
  <w:style w:type="paragraph" w:styleId="Header">
    <w:name w:val="header"/>
    <w:basedOn w:val="Normal"/>
    <w:link w:val="HeaderChar"/>
    <w:uiPriority w:val="99"/>
    <w:rsid w:val="006A11B9"/>
    <w:rPr>
      <w:b/>
      <w:color w:val="FFFFFF"/>
      <w:sz w:val="18"/>
      <w:szCs w:val="18"/>
    </w:rPr>
  </w:style>
  <w:style w:type="character" w:customStyle="1" w:styleId="HeaderChar">
    <w:name w:val="Header Char"/>
    <w:link w:val="Header"/>
    <w:uiPriority w:val="99"/>
    <w:rsid w:val="006A11B9"/>
    <w:rPr>
      <w:b/>
      <w:color w:val="FFFFFF"/>
      <w:sz w:val="18"/>
      <w:szCs w:val="18"/>
    </w:rPr>
  </w:style>
  <w:style w:type="character" w:customStyle="1" w:styleId="Heading1Char">
    <w:name w:val="Heading 1 Char"/>
    <w:link w:val="Heading1"/>
    <w:uiPriority w:val="9"/>
    <w:rsid w:val="001F58F2"/>
    <w:rPr>
      <w:rFonts w:ascii="Arial" w:eastAsia="Times New Roman" w:hAnsi="Arial" w:cs="Times New Roman"/>
      <w:color w:val="6F60AA"/>
      <w:sz w:val="32"/>
      <w:szCs w:val="32"/>
    </w:rPr>
  </w:style>
  <w:style w:type="character" w:customStyle="1" w:styleId="Heading2Char">
    <w:name w:val="Heading 2 Char"/>
    <w:link w:val="Heading2"/>
    <w:uiPriority w:val="9"/>
    <w:rsid w:val="001F58F2"/>
    <w:rPr>
      <w:rFonts w:ascii="Arial" w:eastAsia="Times New Roman" w:hAnsi="Arial" w:cs="Times New Roman"/>
      <w:color w:val="6F60AA"/>
      <w:sz w:val="26"/>
      <w:szCs w:val="26"/>
    </w:rPr>
  </w:style>
  <w:style w:type="character" w:customStyle="1" w:styleId="Heading3Char">
    <w:name w:val="Heading 3 Char"/>
    <w:link w:val="Heading3"/>
    <w:uiPriority w:val="9"/>
    <w:rsid w:val="001F58F2"/>
    <w:rPr>
      <w:rFonts w:ascii="Arial" w:eastAsia="Times New Roman" w:hAnsi="Arial" w:cs="Times New Roman"/>
      <w:color w:val="6F60AA"/>
      <w:sz w:val="24"/>
      <w:szCs w:val="24"/>
    </w:rPr>
  </w:style>
  <w:style w:type="character" w:customStyle="1" w:styleId="Heading4Char">
    <w:name w:val="Heading 4 Char"/>
    <w:link w:val="Heading4"/>
    <w:uiPriority w:val="9"/>
    <w:rsid w:val="001F58F2"/>
    <w:rPr>
      <w:rFonts w:ascii="Arial" w:eastAsia="Times New Roman" w:hAnsi="Arial" w:cs="Times New Roman"/>
      <w:iCs/>
      <w:color w:val="6F60AA"/>
      <w:sz w:val="22"/>
    </w:rPr>
  </w:style>
  <w:style w:type="character" w:customStyle="1" w:styleId="Heading5Char">
    <w:name w:val="Heading 5 Char"/>
    <w:link w:val="Heading5"/>
    <w:uiPriority w:val="9"/>
    <w:rsid w:val="001F58F2"/>
    <w:rPr>
      <w:rFonts w:ascii="Arial" w:eastAsia="Times New Roman" w:hAnsi="Arial" w:cs="Times New Roman"/>
      <w:color w:val="6F60AA"/>
      <w:sz w:val="22"/>
    </w:rPr>
  </w:style>
  <w:style w:type="character" w:customStyle="1" w:styleId="Heading6Char">
    <w:name w:val="Heading 6 Char"/>
    <w:link w:val="Heading6"/>
    <w:uiPriority w:val="9"/>
    <w:rsid w:val="006A11B9"/>
    <w:rPr>
      <w:rFonts w:ascii="Arial" w:eastAsia="Times New Roman" w:hAnsi="Arial" w:cs="Times New Roman"/>
      <w:b/>
      <w:sz w:val="22"/>
    </w:rPr>
  </w:style>
  <w:style w:type="character" w:styleId="Hyperlink">
    <w:name w:val="Hyperlink"/>
    <w:uiPriority w:val="99"/>
    <w:semiHidden/>
    <w:rsid w:val="006A11B9"/>
    <w:rPr>
      <w:color w:val="6F60AA"/>
      <w:u w:val="single"/>
    </w:rPr>
  </w:style>
  <w:style w:type="paragraph" w:styleId="ListParagraph">
    <w:name w:val="List Paragraph"/>
    <w:basedOn w:val="Normal"/>
    <w:uiPriority w:val="34"/>
    <w:qFormat/>
    <w:rsid w:val="006A11B9"/>
    <w:pPr>
      <w:ind w:left="720"/>
      <w:contextualSpacing/>
    </w:pPr>
  </w:style>
  <w:style w:type="paragraph" w:styleId="NoSpacing">
    <w:name w:val="No Spacing"/>
    <w:link w:val="NoSpacingChar"/>
    <w:uiPriority w:val="1"/>
    <w:semiHidden/>
    <w:qFormat/>
    <w:rsid w:val="006A11B9"/>
    <w:rPr>
      <w:rFonts w:eastAsia="Times New Roman"/>
      <w:sz w:val="22"/>
      <w:szCs w:val="22"/>
      <w:lang w:val="en-US" w:eastAsia="en-US"/>
    </w:rPr>
  </w:style>
  <w:style w:type="character" w:customStyle="1" w:styleId="NoSpacingChar">
    <w:name w:val="No Spacing Char"/>
    <w:link w:val="NoSpacing"/>
    <w:uiPriority w:val="1"/>
    <w:semiHidden/>
    <w:rsid w:val="006A11B9"/>
    <w:rPr>
      <w:rFonts w:eastAsia="Times New Roman"/>
      <w:sz w:val="22"/>
      <w:szCs w:val="22"/>
      <w:lang w:val="en-US"/>
    </w:rPr>
  </w:style>
  <w:style w:type="character" w:styleId="PlaceholderText">
    <w:name w:val="Placeholder Text"/>
    <w:uiPriority w:val="99"/>
    <w:semiHidden/>
    <w:rsid w:val="006A11B9"/>
    <w:rPr>
      <w:color w:val="808080"/>
    </w:rPr>
  </w:style>
  <w:style w:type="paragraph" w:customStyle="1" w:styleId="Pulloutquote">
    <w:name w:val="Pull out quote"/>
    <w:basedOn w:val="Normal"/>
    <w:qFormat/>
    <w:rsid w:val="001F58F2"/>
    <w:pPr>
      <w:spacing w:before="240" w:after="240"/>
      <w:ind w:left="284"/>
    </w:pPr>
    <w:rPr>
      <w:color w:val="6F60AA"/>
    </w:rPr>
  </w:style>
  <w:style w:type="table" w:styleId="TableGrid">
    <w:name w:val="Table Grid"/>
    <w:basedOn w:val="TableNormal"/>
    <w:uiPriority w:val="59"/>
    <w:rsid w:val="006A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A11B9"/>
    <w:pPr>
      <w:tabs>
        <w:tab w:val="left" w:pos="709"/>
        <w:tab w:val="right" w:leader="dot" w:pos="10082"/>
      </w:tabs>
      <w:spacing w:after="100"/>
      <w:ind w:left="709" w:hanging="709"/>
    </w:pPr>
    <w:rPr>
      <w:noProof/>
    </w:rPr>
  </w:style>
  <w:style w:type="paragraph" w:styleId="TOC2">
    <w:name w:val="toc 2"/>
    <w:basedOn w:val="Normal"/>
    <w:next w:val="Normal"/>
    <w:autoRedefine/>
    <w:uiPriority w:val="39"/>
    <w:unhideWhenUsed/>
    <w:rsid w:val="006A11B9"/>
    <w:pPr>
      <w:tabs>
        <w:tab w:val="left" w:pos="709"/>
        <w:tab w:val="right" w:leader="dot" w:pos="10082"/>
      </w:tabs>
      <w:spacing w:after="100"/>
      <w:ind w:left="709" w:hanging="709"/>
    </w:pPr>
    <w:rPr>
      <w:noProof/>
      <w:sz w:val="20"/>
    </w:rPr>
  </w:style>
  <w:style w:type="paragraph" w:styleId="TOC3">
    <w:name w:val="toc 3"/>
    <w:basedOn w:val="Normal"/>
    <w:next w:val="Normal"/>
    <w:autoRedefine/>
    <w:uiPriority w:val="39"/>
    <w:unhideWhenUsed/>
    <w:rsid w:val="006A11B9"/>
    <w:pPr>
      <w:tabs>
        <w:tab w:val="left" w:pos="709"/>
        <w:tab w:val="right" w:leader="dot" w:pos="10082"/>
      </w:tabs>
      <w:spacing w:after="100"/>
      <w:ind w:left="709" w:hanging="709"/>
    </w:pPr>
    <w:rPr>
      <w:noProof/>
      <w:sz w:val="20"/>
    </w:rPr>
  </w:style>
  <w:style w:type="paragraph" w:styleId="TOCHeading">
    <w:name w:val="TOC Heading"/>
    <w:basedOn w:val="Heading1"/>
    <w:next w:val="Normal"/>
    <w:uiPriority w:val="39"/>
    <w:semiHidden/>
    <w:qFormat/>
    <w:rsid w:val="006A11B9"/>
    <w:pPr>
      <w:numPr>
        <w:numId w:val="0"/>
      </w:numPr>
      <w:spacing w:after="120"/>
      <w:outlineLvl w:val="9"/>
    </w:pPr>
    <w:rPr>
      <w:color w:val="514581"/>
      <w:lang w:val="en-US"/>
    </w:rPr>
  </w:style>
  <w:style w:type="table" w:styleId="GridTable1Light-Accent2">
    <w:name w:val="Grid Table 1 Light Accent 2"/>
    <w:basedOn w:val="TableNormal"/>
    <w:uiPriority w:val="46"/>
    <w:rsid w:val="00B441DA"/>
    <w:tblPr>
      <w:tblStyleRowBandSize w:val="1"/>
      <w:tblStyleColBandSize w:val="1"/>
      <w:tblBorders>
        <w:top w:val="single" w:sz="4" w:space="0" w:color="F1B2BF"/>
        <w:left w:val="single" w:sz="4" w:space="0" w:color="F1B2BF"/>
        <w:bottom w:val="single" w:sz="4" w:space="0" w:color="F1B2BF"/>
        <w:right w:val="single" w:sz="4" w:space="0" w:color="F1B2BF"/>
        <w:insideH w:val="single" w:sz="4" w:space="0" w:color="F1B2BF"/>
        <w:insideV w:val="single" w:sz="4" w:space="0" w:color="F1B2BF"/>
      </w:tblBorders>
    </w:tblPr>
    <w:tblStylePr w:type="firstRow">
      <w:rPr>
        <w:b/>
        <w:bCs/>
      </w:rPr>
      <w:tblPr/>
      <w:tcPr>
        <w:tcBorders>
          <w:bottom w:val="single" w:sz="12" w:space="0" w:color="EA8C9F"/>
        </w:tcBorders>
      </w:tcPr>
    </w:tblStylePr>
    <w:tblStylePr w:type="lastRow">
      <w:rPr>
        <w:b/>
        <w:bCs/>
      </w:rPr>
      <w:tblPr/>
      <w:tcPr>
        <w:tcBorders>
          <w:top w:val="double" w:sz="2" w:space="0" w:color="EA8C9F"/>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441DA"/>
    <w:tblPr>
      <w:tblStyleRowBandSize w:val="1"/>
      <w:tblStyleColBandSize w:val="1"/>
      <w:tblBorders>
        <w:top w:val="single" w:sz="4" w:space="0" w:color="FAC4B6"/>
        <w:left w:val="single" w:sz="4" w:space="0" w:color="FAC4B6"/>
        <w:bottom w:val="single" w:sz="4" w:space="0" w:color="FAC4B6"/>
        <w:right w:val="single" w:sz="4" w:space="0" w:color="FAC4B6"/>
        <w:insideH w:val="single" w:sz="4" w:space="0" w:color="FAC4B6"/>
        <w:insideV w:val="single" w:sz="4" w:space="0" w:color="FAC4B6"/>
      </w:tblBorders>
    </w:tblPr>
    <w:tblStylePr w:type="firstRow">
      <w:rPr>
        <w:b/>
        <w:bCs/>
      </w:rPr>
      <w:tblPr/>
      <w:tcPr>
        <w:tcBorders>
          <w:bottom w:val="single" w:sz="12" w:space="0" w:color="F7A792"/>
        </w:tcBorders>
      </w:tcPr>
    </w:tblStylePr>
    <w:tblStylePr w:type="lastRow">
      <w:rPr>
        <w:b/>
        <w:bCs/>
      </w:rPr>
      <w:tblPr/>
      <w:tcPr>
        <w:tcBorders>
          <w:top w:val="double" w:sz="2" w:space="0" w:color="F7A792"/>
        </w:tcBorders>
      </w:tcPr>
    </w:tblStylePr>
    <w:tblStylePr w:type="firstCol">
      <w:rPr>
        <w:b/>
        <w:bCs/>
      </w:rPr>
    </w:tblStylePr>
    <w:tblStylePr w:type="lastCol">
      <w:rPr>
        <w:b/>
        <w:bCs/>
      </w:rPr>
    </w:tblStylePr>
  </w:style>
  <w:style w:type="paragraph" w:styleId="TOC7">
    <w:name w:val="toc 7"/>
    <w:basedOn w:val="Normal"/>
    <w:next w:val="Normal"/>
    <w:autoRedefine/>
    <w:uiPriority w:val="39"/>
    <w:semiHidden/>
    <w:unhideWhenUsed/>
    <w:rsid w:val="0085027B"/>
    <w:pPr>
      <w:spacing w:after="100"/>
      <w:ind w:left="1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nglicare Victor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572B8-D2A0-4E95-9726-0FE51A13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CEEP CRITERIA AND BROKERAGE INFORMATION</vt:lpstr>
    </vt:vector>
  </TitlesOfParts>
  <Company>Anglicare Victoria</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CEEP CRITERIA AND BROKERAGE INFORMATION</dc:title>
  <dc:subject/>
  <dc:creator>Stuart Wallbank</dc:creator>
  <cp:keywords/>
  <dc:description/>
  <cp:lastModifiedBy>Stuart Wallbank</cp:lastModifiedBy>
  <cp:revision>2</cp:revision>
  <dcterms:created xsi:type="dcterms:W3CDTF">2022-07-29T05:01:00Z</dcterms:created>
  <dcterms:modified xsi:type="dcterms:W3CDTF">2022-07-29T05:20:00Z</dcterms:modified>
</cp:coreProperties>
</file>